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2"/>
          <w:szCs w:val="32"/>
        </w:rPr>
        <w:t xml:space="preserve">Design and Implementation of an NDPA-Compliant IoT Edge Vulnerability Assessment System</w:t>
      </w:r>
    </w:p>
    <w:p>
      <w:pPr>
        <w:spacing w:after="400" w:before="0"/>
        <w:jc w:val="center"/>
      </w:pPr>
      <w:r>
        <w:rPr>
          <w:rFonts w:ascii="Times New Roman" w:cs="Times New Roman" w:eastAsia="Times New Roman" w:hAnsi="Times New Roman"/>
          <w:i/>
          <w:iCs/>
          <w:color w:val="555555"/>
          <w:sz w:val="22"/>
          <w:szCs w:val="22"/>
        </w:rPr>
        <w:t xml:space="preserve">Miva Open University, Nigeria  ·  2026</w:t>
      </w:r>
    </w:p>
    <w:p>
      <w:pPr>
        <w:pBdr>
          <w:bottom w:val="single" w:color="CADCFC" w:sz="6" w:space="1"/>
        </w:pBdr>
        <w:spacing w:after="320" w:before="0"/>
      </w:pPr>
      <w:r>
        <w:t xml:space="preserve"/>
      </w:r>
    </w:p>
    <w:p>
      <w:pPr>
        <w:pStyle w:val="Heading1"/>
        <w:pBdr>
          <w:bottom w:val="single" w:color="CADCFC" w:sz="4" w:space="4"/>
        </w:pBdr>
        <w:spacing w:after="160" w:before="300"/>
      </w:pPr>
      <w:r>
        <w:rPr>
          <w:rFonts w:ascii="Times New Roman" w:cs="Times New Roman" w:eastAsia="Times New Roman" w:hAnsi="Times New Roman"/>
          <w:b/>
          <w:bCs/>
          <w:color w:val="1E2761"/>
          <w:sz w:val="26"/>
          <w:szCs w:val="26"/>
        </w:rPr>
        <w:t xml:space="preserve">Abstract</w:t>
      </w:r>
    </w:p>
    <w:p>
      <w:pPr>
        <w:spacing w:after="160" w:before="0" w:line="480" w:lineRule="auto"/>
        <w:ind/>
        <w:jc w:val="both"/>
      </w:pPr>
      <w:r>
        <w:rPr>
          <w:rFonts w:ascii="Times New Roman" w:cs="Times New Roman" w:eastAsia="Times New Roman" w:hAnsi="Times New Roman"/>
          <w:sz w:val="24"/>
          <w:szCs w:val="24"/>
        </w:rPr>
        <w:t xml:space="preserve">The proliferation of Internet of Things (IoT) devices across Nigerian industries has created a growing cybersecurity and data privacy compliance challenge. While the Nigeria Data Protection Act (NDPA) 2023 imposes legal obligations on organisations to protect personal data processed through connected systems, no existing vulnerability assessment tool provides direct mapping of IoT security findings to NDPA compliance requirements. This paper presents the design, implementation, and empirical evaluation of an NDPA-compliant IoT edge vulnerability assessment system built using Python, Flask, Nmap, SQLite, and ReportLab. The system integrates four capabilities in a single platform: multi-method device discovery, rule-based vulnerability detection across 18 IoT-relevant ports, privacy risk assessment mapped to six NDPA data protection principles, and automated compliance report generation. Empirical evaluation on a live MiFi network — comprising four devices including a MiFi router and an Android-based car headunit — produced one medium-severity vulnerability finding correctly mapped to NDPA Section 24(1)(b), six privacy risk findings spanning Sections 10, 24(1)(b), 24(2), and 25, and a network privacy score of 3.1/10. All five test cases passed. The system is packaged as a standalone Windows executable requiring no specialist configuration, making NDPA-aligned IoT compliance assessment accessible to non-specialist compliance officers in Nigerian organisations of all sizes.</w:t>
      </w:r>
    </w:p>
    <w:p>
      <w:pPr>
        <w:spacing w:after="80" w:before="0"/>
      </w:pPr>
      <w:r>
        <w:t xml:space="preserve"/>
      </w:r>
    </w:p>
    <w:p>
      <w:pPr>
        <w:spacing w:after="32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Internet of Things, IoT security, vulnerability assessment, Nigeria Data Protection Act, NDPA compliance, edge computing, privacy risk assessment, network scanning.</w:t>
      </w:r>
    </w:p>
    <w:p>
      <w:pPr>
        <w:pStyle w:val="Heading1"/>
        <w:pBdr>
          <w:bottom w:val="single" w:color="CADCFC" w:sz="4" w:space="4"/>
        </w:pBdr>
        <w:spacing w:after="160" w:before="300"/>
      </w:pPr>
      <w:r>
        <w:rPr>
          <w:rFonts w:ascii="Times New Roman" w:cs="Times New Roman" w:eastAsia="Times New Roman" w:hAnsi="Times New Roman"/>
          <w:b/>
          <w:bCs/>
          <w:color w:val="1E2761"/>
          <w:sz w:val="26"/>
          <w:szCs w:val="26"/>
        </w:rPr>
        <w:t xml:space="preserve">1.  Introduction</w:t>
      </w:r>
    </w:p>
    <w:p>
      <w:pPr>
        <w:spacing w:after="160" w:before="0" w:line="480" w:lineRule="auto"/>
        <w:ind/>
        <w:jc w:val="both"/>
      </w:pPr>
      <w:r>
        <w:rPr>
          <w:rFonts w:ascii="Times New Roman" w:cs="Times New Roman" w:eastAsia="Times New Roman" w:hAnsi="Times New Roman"/>
          <w:sz w:val="24"/>
          <w:szCs w:val="24"/>
        </w:rPr>
        <w:t xml:space="preserve">The Internet of Things has grown at a pace that has outrun the ability to secure it. Billions of smart devices — managing everything from hospital equipment to vehicle infotainment systems — collect and exchange data across interconnected networks (Obaidat et al., 2020). In Nigeria, IoT adoption spans banking, healthcare, logistics, telecommunications, and smart infrastructure, with the growing digital economy driving widespread deployment of connected devices and edge computing systems (NDPC, 2024). Edge computing, which processes data closer to the point of generation, improves latency and real-time responsiveness but introduces distributed attack surfaces that multiply the security risks of centralised architectures (Alwarafy et al., 2020; Roman et al., 2021).</w:t>
      </w:r>
    </w:p>
    <w:p>
      <w:pPr>
        <w:spacing w:after="160" w:before="0" w:line="480" w:lineRule="auto"/>
        <w:ind/>
        <w:jc w:val="both"/>
      </w:pPr>
      <w:r>
        <w:rPr>
          <w:rFonts w:ascii="Times New Roman" w:cs="Times New Roman" w:eastAsia="Times New Roman" w:hAnsi="Times New Roman"/>
          <w:sz w:val="24"/>
          <w:szCs w:val="24"/>
        </w:rPr>
        <w:t xml:space="preserve">Most IoT devices are developed with minimal security mechanisms, making them vulnerable to unauthorised access, weak authentication, insecure communication protocols, data interception, and privacy breaches (Anand et al., 2020; Tawalbeh et al., 2020). The Nigeria Data Protection Act (NDPA) 2023 now imposes concrete legal obligations on organisations to implement technical and organisational safeguards for personal data processed through these systems. Non-compliance risks financial penalties, legal liability, and reputational damage, while the broader societal consequence is a loss of public trust in digital infrastructure (Iyamu &amp; Mhlongo, 2022).</w:t>
      </w:r>
    </w:p>
    <w:p>
      <w:pPr>
        <w:spacing w:after="160" w:before="0" w:line="480" w:lineRule="auto"/>
        <w:ind/>
        <w:jc w:val="both"/>
      </w:pPr>
      <w:r>
        <w:rPr>
          <w:rFonts w:ascii="Times New Roman" w:cs="Times New Roman" w:eastAsia="Times New Roman" w:hAnsi="Times New Roman"/>
          <w:sz w:val="24"/>
          <w:szCs w:val="24"/>
        </w:rPr>
        <w:t xml:space="preserve">Despite this dual pressure, a critical gap exists: no existing vulnerability assessment tool provides direct mapping of IoT security findings to NDPA requirements. Tools such as EXPLIoT, IoT Inspector (NYU, 2021), OWASP IoT Top 10 (2023), and NIST NISTIR 8259 (2020) provide technical scanning capabilities but are designed around international frameworks — GDPR, ISO/IEC 27001, NIST standards — with no localisation to Nigerian regulatory obligations. Nigerian organisations are therefore left without a practical instrument to systematically assess whether their IoT infrastructure meets NDPA compliance requirements (Greenleaf, 2021; Voigt &amp; Von dem Bussche, 2021).</w:t>
      </w:r>
    </w:p>
    <w:p>
      <w:pPr>
        <w:spacing w:after="160" w:before="0" w:line="480" w:lineRule="auto"/>
        <w:ind/>
        <w:jc w:val="both"/>
      </w:pPr>
      <w:r>
        <w:rPr>
          <w:rFonts w:ascii="Times New Roman" w:cs="Times New Roman" w:eastAsia="Times New Roman" w:hAnsi="Times New Roman"/>
          <w:sz w:val="24"/>
          <w:szCs w:val="24"/>
        </w:rPr>
        <w:t xml:space="preserve">This paper addresses that gap by presenting the design, implementation, and empirical evaluation of an NDPA-compliant IoT edge vulnerability assessment system. The system was developed iteratively across five prototype phases using Python, Flask, Nmap, SQLite, and ReportLab, and evaluated through a live scan of a real-world MiFi network. The primary contributions of this work are: (1) a structured three-stage NDPA compliance mapping framework linking IoT vulnerability categories to specific provisions of the NDPA 2023; (2) a two-layer IoT device identification system combining port fingerprinting, hostname pattern matching, and MAC address OUI lookup; (3) an integrated vulnerability and privacy assessment platform packaged as a standalone executable for non-specialist deployment; and (4) empirical evidence establishing connected automotive devices as an overlooked NDPA compliance risk category.</w:t>
      </w:r>
    </w:p>
    <w:p>
      <w:pPr>
        <w:spacing w:after="160" w:before="0" w:line="480" w:lineRule="auto"/>
        <w:ind/>
        <w:jc w:val="both"/>
      </w:pPr>
      <w:r>
        <w:rPr>
          <w:rFonts w:ascii="Times New Roman" w:cs="Times New Roman" w:eastAsia="Times New Roman" w:hAnsi="Times New Roman"/>
          <w:sz w:val="24"/>
          <w:szCs w:val="24"/>
        </w:rPr>
        <w:t xml:space="preserve">The remainder of this paper is structured as follows. Section 2 reviews related work. Section 3 describes the methodology. Section 4 presents the system design and architecture. Section 5 reports the empirical results and evaluation. Section 6 concludes with recommendations for future work.</w:t>
      </w:r>
    </w:p>
    <w:p>
      <w:pPr>
        <w:pStyle w:val="Heading1"/>
        <w:pBdr>
          <w:bottom w:val="single" w:color="CADCFC" w:sz="4" w:space="4"/>
        </w:pBdr>
        <w:spacing w:after="160" w:before="300"/>
      </w:pPr>
      <w:r>
        <w:rPr>
          <w:rFonts w:ascii="Times New Roman" w:cs="Times New Roman" w:eastAsia="Times New Roman" w:hAnsi="Times New Roman"/>
          <w:b/>
          <w:bCs/>
          <w:color w:val="1E2761"/>
          <w:sz w:val="26"/>
          <w:szCs w:val="26"/>
        </w:rPr>
        <w:t xml:space="preserve">2.  Literature Review</w:t>
      </w:r>
    </w:p>
    <w:p>
      <w:pPr>
        <w:pStyle w:val="Heading2"/>
        <w:spacing w:after="100" w:before="200"/>
      </w:pPr>
      <w:r>
        <w:rPr>
          <w:rFonts w:ascii="Times New Roman" w:cs="Times New Roman" w:eastAsia="Times New Roman" w:hAnsi="Times New Roman"/>
          <w:b/>
          <w:bCs/>
          <w:sz w:val="24"/>
          <w:szCs w:val="24"/>
        </w:rPr>
        <w:t xml:space="preserve">2.1  IoT Security Vulnerabilities and Edge Computing Risks</w:t>
      </w:r>
    </w:p>
    <w:p>
      <w:pPr>
        <w:spacing w:after="160" w:before="0" w:line="480" w:lineRule="auto"/>
        <w:ind/>
        <w:jc w:val="both"/>
      </w:pPr>
      <w:r>
        <w:rPr>
          <w:rFonts w:ascii="Times New Roman" w:cs="Times New Roman" w:eastAsia="Times New Roman" w:hAnsi="Times New Roman"/>
          <w:sz w:val="24"/>
          <w:szCs w:val="24"/>
        </w:rPr>
        <w:t xml:space="preserve">IoT devices are characterised by constrained resources, heterogeneous architectures, and an historical emphasis on functionality over security (Anand et al., 2020). The OWASP IoT Top 10 (2023) catalogues the most prevalent vulnerability classes: weak passwords, insecure network services, outdated firmware, lack of secure update mechanisms, and use of insecure or obsolete protocols. NIST NISTIR 8259 (2020) provides foundational guidance for device manufacturers on embedding security from the design stage. Edge computing compounds these risks by distributing processing across multiple nodes with varied security postures, expanding the attack surface beyond what centralised cloud architectures present (Shi et al., 2020; Roman et al., 2021). Studies by Radanliev et al. (2021) identify edge environments as particularly susceptible to cascading compromise, where a single vulnerable gateway can expose all devices on the network.</w:t>
      </w:r>
    </w:p>
    <w:p>
      <w:pPr>
        <w:pStyle w:val="Heading2"/>
        <w:spacing w:after="100" w:before="200"/>
      </w:pPr>
      <w:r>
        <w:rPr>
          <w:rFonts w:ascii="Times New Roman" w:cs="Times New Roman" w:eastAsia="Times New Roman" w:hAnsi="Times New Roman"/>
          <w:b/>
          <w:bCs/>
          <w:sz w:val="24"/>
          <w:szCs w:val="24"/>
        </w:rPr>
        <w:t xml:space="preserve">2.2  Privacy Compliance and the NDPA 2023</w:t>
      </w:r>
    </w:p>
    <w:p>
      <w:pPr>
        <w:spacing w:after="160" w:before="0" w:line="480" w:lineRule="auto"/>
        <w:ind/>
        <w:jc w:val="both"/>
      </w:pPr>
      <w:r>
        <w:rPr>
          <w:rFonts w:ascii="Times New Roman" w:cs="Times New Roman" w:eastAsia="Times New Roman" w:hAnsi="Times New Roman"/>
          <w:sz w:val="24"/>
          <w:szCs w:val="24"/>
        </w:rPr>
        <w:t xml:space="preserve">The Nigeria Data Protection Act 2023 represents the most significant development in Nigerian data governance since the repealed NDPR. It establishes seven data protection principles — lawful processing (Section 10), confidentiality and access control (Section 24(1)(a)), security of processing (Section 24(1)(b)), data minimisation (Section 24(1)(c)), storage limitation (Section 24(1)(d)), data protection by design (Section 24(2)), and breach notification (Section 25) — and mandates that organisations implement technical measures commensurate with the privacy risks of their processing activities. The NDPA's scope explicitly covers automated processing systems including connected devices, making it directly applicable to IoT deployments. Iyamu and Mhlongo (2022) document the structural barriers to cybersecurity compliance in developing economies, noting that the lack of locally contextualised tools is a primary obstacle to practical implementation.</w:t>
      </w:r>
    </w:p>
    <w:p>
      <w:pPr>
        <w:pStyle w:val="Heading2"/>
        <w:spacing w:after="100" w:before="200"/>
      </w:pPr>
      <w:r>
        <w:rPr>
          <w:rFonts w:ascii="Times New Roman" w:cs="Times New Roman" w:eastAsia="Times New Roman" w:hAnsi="Times New Roman"/>
          <w:b/>
          <w:bCs/>
          <w:sz w:val="24"/>
          <w:szCs w:val="24"/>
        </w:rPr>
        <w:t xml:space="preserve">2.3  Existing Assessment Tools and Their Limitations</w:t>
      </w:r>
    </w:p>
    <w:p>
      <w:pPr>
        <w:spacing w:after="160" w:before="0" w:line="480" w:lineRule="auto"/>
        <w:ind/>
        <w:jc w:val="both"/>
      </w:pPr>
      <w:r>
        <w:rPr>
          <w:rFonts w:ascii="Times New Roman" w:cs="Times New Roman" w:eastAsia="Times New Roman" w:hAnsi="Times New Roman"/>
          <w:sz w:val="24"/>
          <w:szCs w:val="24"/>
        </w:rPr>
        <w:t xml:space="preserve">A review of existing IoT assessment tools reveals a consistent pattern of technical capability without regulatory localisation. EXPLIoT provides firmware analysis, network scanning, and vulnerability identification at an enterprise level but requires significant infrastructure investment and offers no NDPA mapping. IoT Inspector (NYU, 2021), the most methodologically similar tool to the present work, monitors device traffic flows to detect privacy-concerning behaviours but performs no active vulnerability scanning and generates no compliance findings mapped to any data protection framework. OWASP IoT Top 10 and NIST NISTIR 8259 are frameworks rather than executable tools, providing guidance without automated assessment capability. Zhang et al. (2020) and Lu and Xu (2020) propose privacy-preserving architectures for edge environments but do not address the compliance reporting requirements of national data protection legislation.</w:t>
      </w:r>
    </w:p>
    <w:p>
      <w:pPr>
        <w:spacing w:after="160" w:before="0" w:line="480" w:lineRule="auto"/>
        <w:ind/>
        <w:jc w:val="both"/>
      </w:pPr>
      <w:r>
        <w:rPr>
          <w:rFonts w:ascii="Times New Roman" w:cs="Times New Roman" w:eastAsia="Times New Roman" w:hAnsi="Times New Roman"/>
          <w:sz w:val="24"/>
          <w:szCs w:val="24"/>
        </w:rPr>
        <w:t xml:space="preserve">The critical gap identified across all reviewed tools is threefold: no tool maps IoT security findings to the NDPA 2023; no lightweight tool is accessible to non-specialist organisations in developing economy contexts; and no tool integrates vulnerability assessment and privacy compliance assessment in a unified platform. The present work addresses all three gaps.</w:t>
      </w:r>
    </w:p>
    <w:p>
      <w:pPr>
        <w:pStyle w:val="Heading1"/>
        <w:pBdr>
          <w:bottom w:val="single" w:color="CADCFC" w:sz="4" w:space="4"/>
        </w:pBdr>
        <w:spacing w:after="160" w:before="300"/>
      </w:pPr>
      <w:r>
        <w:rPr>
          <w:rFonts w:ascii="Times New Roman" w:cs="Times New Roman" w:eastAsia="Times New Roman" w:hAnsi="Times New Roman"/>
          <w:b/>
          <w:bCs/>
          <w:color w:val="1E2761"/>
          <w:sz w:val="26"/>
          <w:szCs w:val="26"/>
        </w:rPr>
        <w:t xml:space="preserve">3.  Methodology</w:t>
      </w:r>
    </w:p>
    <w:p>
      <w:pPr>
        <w:pStyle w:val="Heading2"/>
        <w:spacing w:after="100" w:before="200"/>
      </w:pPr>
      <w:r>
        <w:rPr>
          <w:rFonts w:ascii="Times New Roman" w:cs="Times New Roman" w:eastAsia="Times New Roman" w:hAnsi="Times New Roman"/>
          <w:b/>
          <w:bCs/>
          <w:sz w:val="24"/>
          <w:szCs w:val="24"/>
        </w:rPr>
        <w:t xml:space="preserve">3.1  Research Design</w:t>
      </w:r>
    </w:p>
    <w:p>
      <w:pPr>
        <w:spacing w:after="160" w:before="0" w:line="480" w:lineRule="auto"/>
        <w:ind/>
        <w:jc w:val="both"/>
      </w:pPr>
      <w:r>
        <w:rPr>
          <w:rFonts w:ascii="Times New Roman" w:cs="Times New Roman" w:eastAsia="Times New Roman" w:hAnsi="Times New Roman"/>
          <w:sz w:val="24"/>
          <w:szCs w:val="24"/>
        </w:rPr>
        <w:t xml:space="preserve">This study adopts a mixed-method research design grounded in a pragmatist philosophy. Qualitatively, the NDPA 2023 was analysed systematically to extract the compliance requirements that an IoT assessment system must address, and the existing literature was reviewed to identify the gap the system would fill. Quantitatively, the implemented system was evaluated empirically through live network scanning, with outputs measured against ground-truth knowledge of the test environment. The study is situated within the Design Science Research paradigm (Hevner et al., 2004), in which the primary research contribution is the designed and evaluated artefact — the NDPA-compliant scanning system — rather than theoretical knowledge alone.</w:t>
      </w:r>
    </w:p>
    <w:p>
      <w:pPr>
        <w:pStyle w:val="Heading2"/>
        <w:spacing w:after="100" w:before="200"/>
      </w:pPr>
      <w:r>
        <w:rPr>
          <w:rFonts w:ascii="Times New Roman" w:cs="Times New Roman" w:eastAsia="Times New Roman" w:hAnsi="Times New Roman"/>
          <w:b/>
          <w:bCs/>
          <w:sz w:val="24"/>
          <w:szCs w:val="24"/>
        </w:rPr>
        <w:t xml:space="preserve">3.2  System Development Methodology</w:t>
      </w:r>
    </w:p>
    <w:p>
      <w:pPr>
        <w:spacing w:after="160" w:before="0" w:line="480" w:lineRule="auto"/>
        <w:ind/>
        <w:jc w:val="both"/>
      </w:pPr>
      <w:r>
        <w:rPr>
          <w:rFonts w:ascii="Times New Roman" w:cs="Times New Roman" w:eastAsia="Times New Roman" w:hAnsi="Times New Roman"/>
          <w:sz w:val="24"/>
          <w:szCs w:val="24"/>
        </w:rPr>
        <w:t xml:space="preserve">The Prototyping Model was selected as the system development methodology. This choice reflects three constraints: the compliance mapping requirements could not be fully specified before development began, as key decisions about NDPA provision applicability could only be validated through iterative testing; the project is an individual academic endeavour without the team structure assumed by Agile methodologies; and the deliverable is explicitly a prototype rather than a production system (Pressman &amp; Maxim, 2020). Development proceeded across five sequential phases: (P1) system architecture and database foundation; (P2) device discovery and port scanning engine; (P3) vulnerability analysis engine and NDPA mapping; (P4) privacy risk assessment module; and (P5) reporting dashboard and executable packaging.</w:t>
      </w:r>
    </w:p>
    <w:p>
      <w:pPr>
        <w:pStyle w:val="Heading2"/>
        <w:spacing w:after="100" w:before="200"/>
      </w:pPr>
      <w:r>
        <w:rPr>
          <w:rFonts w:ascii="Times New Roman" w:cs="Times New Roman" w:eastAsia="Times New Roman" w:hAnsi="Times New Roman"/>
          <w:b/>
          <w:bCs/>
          <w:sz w:val="24"/>
          <w:szCs w:val="24"/>
        </w:rPr>
        <w:t xml:space="preserve">3.3  NDPA Compliance Mapping Framework</w:t>
      </w:r>
    </w:p>
    <w:p>
      <w:pPr>
        <w:spacing w:after="160" w:before="0" w:line="480" w:lineRule="auto"/>
        <w:ind/>
        <w:jc w:val="both"/>
      </w:pPr>
      <w:r>
        <w:rPr>
          <w:rFonts w:ascii="Times New Roman" w:cs="Times New Roman" w:eastAsia="Times New Roman" w:hAnsi="Times New Roman"/>
          <w:sz w:val="24"/>
          <w:szCs w:val="24"/>
        </w:rPr>
        <w:t xml:space="preserve">The NDPA compliance mapping methodology — the primary theoretical contribution of this research — was developed through a structured three-stage process. First, each detected vulnerability or privacy risk was classified into a named category (e.g., Unencrypted Communication, Unknown Device). Second, the category was mapped to the specific NDPA provision it implicates by cross-referencing the category's technical characteristics against the obligations defined in the Act's text. Third, a plain-language explanatory statement was generated articulating the legal obligation in terms accessible to a non-specialist compliance officer. This framework produces seven vulnerability-to-NDPA mappings and six privacy principle mappings, covering Sections 10, 24(1)(a)–(d), 24(2), and 25 of the Act.</w:t>
      </w:r>
    </w:p>
    <w:p>
      <w:pPr>
        <w:pStyle w:val="Heading2"/>
        <w:spacing w:after="100" w:before="200"/>
      </w:pPr>
      <w:r>
        <w:rPr>
          <w:rFonts w:ascii="Times New Roman" w:cs="Times New Roman" w:eastAsia="Times New Roman" w:hAnsi="Times New Roman"/>
          <w:b/>
          <w:bCs/>
          <w:sz w:val="24"/>
          <w:szCs w:val="24"/>
        </w:rPr>
        <w:t xml:space="preserve">3.4  Evaluation Approach</w:t>
      </w:r>
    </w:p>
    <w:p>
      <w:pPr>
        <w:spacing w:after="160" w:before="0" w:line="480" w:lineRule="auto"/>
        <w:ind/>
        <w:jc w:val="both"/>
      </w:pPr>
      <w:r>
        <w:rPr>
          <w:rFonts w:ascii="Times New Roman" w:cs="Times New Roman" w:eastAsia="Times New Roman" w:hAnsi="Times New Roman"/>
          <w:sz w:val="24"/>
          <w:szCs w:val="24"/>
        </w:rPr>
        <w:t xml:space="preserve">The system was evaluated through a black-box functional testing approach with ground-truth validation on a live network — Session #15, conducted on 29 May 2026 on a 192.168.0.0/24 MiFi subnet. Five test cases were defined covering device discovery, port scanning, vulnerability analysis, privacy assessment, and report generation. Ground truth was provided by the researcher's direct knowledge of the four devices connected to the network at the time of the scan. Evaluation criteria comprised technical accuracy, NDPA mapping correctness, and objective attainment.</w:t>
      </w:r>
    </w:p>
    <w:p>
      <w:pPr>
        <w:pStyle w:val="Heading1"/>
        <w:pBdr>
          <w:bottom w:val="single" w:color="CADCFC" w:sz="4" w:space="4"/>
        </w:pBdr>
        <w:spacing w:after="160" w:before="300"/>
      </w:pPr>
      <w:r>
        <w:rPr>
          <w:rFonts w:ascii="Times New Roman" w:cs="Times New Roman" w:eastAsia="Times New Roman" w:hAnsi="Times New Roman"/>
          <w:b/>
          <w:bCs/>
          <w:color w:val="1E2761"/>
          <w:sz w:val="26"/>
          <w:szCs w:val="26"/>
        </w:rPr>
        <w:t xml:space="preserve">4.  System Design</w:t>
      </w:r>
    </w:p>
    <w:p>
      <w:pPr>
        <w:pStyle w:val="Heading2"/>
        <w:spacing w:after="100" w:before="200"/>
      </w:pPr>
      <w:r>
        <w:rPr>
          <w:rFonts w:ascii="Times New Roman" w:cs="Times New Roman" w:eastAsia="Times New Roman" w:hAnsi="Times New Roman"/>
          <w:b/>
          <w:bCs/>
          <w:sz w:val="24"/>
          <w:szCs w:val="24"/>
        </w:rPr>
        <w:t xml:space="preserve">4.1  Architecture</w:t>
      </w:r>
    </w:p>
    <w:p>
      <w:pPr>
        <w:spacing w:after="160" w:before="0" w:line="480" w:lineRule="auto"/>
        <w:ind/>
        <w:jc w:val="both"/>
      </w:pPr>
      <w:r>
        <w:rPr>
          <w:rFonts w:ascii="Times New Roman" w:cs="Times New Roman" w:eastAsia="Times New Roman" w:hAnsi="Times New Roman"/>
          <w:sz w:val="24"/>
          <w:szCs w:val="24"/>
        </w:rPr>
        <w:t xml:space="preserve">The system implements a three-tier client-server architecture. The presentation layer provides a browser-based interface rendered through Flask's Jinja2 templating engine with Chart.js data visualisations. The application layer comprises Flask route blueprints and four independent processing modules: the network scanning engine, vulnerability analysis engine, privacy risk assessment engine, and PDF report generator. The data layer is a SQLite relational database accessed through the Flask-SQLAlchemy ORM, storing five entity types: ScanSession, Device, OpenPort, Vulnerability, and PrivacyRisk, with one-to-many relationships enabling full traceability from finding to session. The system is packaged as a standalone Windows executable via PyInstaller, requiring only Nmap as an external system-level dependency.</w:t>
      </w:r>
    </w:p>
    <w:p>
      <w:pPr>
        <w:pStyle w:val="Heading2"/>
        <w:spacing w:after="100" w:before="200"/>
      </w:pPr>
      <w:r>
        <w:rPr>
          <w:rFonts w:ascii="Times New Roman" w:cs="Times New Roman" w:eastAsia="Times New Roman" w:hAnsi="Times New Roman"/>
          <w:b/>
          <w:bCs/>
          <w:sz w:val="24"/>
          <w:szCs w:val="24"/>
        </w:rPr>
        <w:t xml:space="preserve">4.2  Device Discovery and Two-Layer Identification</w:t>
      </w:r>
    </w:p>
    <w:p>
      <w:pPr>
        <w:spacing w:after="160" w:before="0" w:line="480" w:lineRule="auto"/>
        <w:ind/>
        <w:jc w:val="both"/>
      </w:pPr>
      <w:r>
        <w:rPr>
          <w:rFonts w:ascii="Times New Roman" w:cs="Times New Roman" w:eastAsia="Times New Roman" w:hAnsi="Times New Roman"/>
          <w:sz w:val="24"/>
          <w:szCs w:val="24"/>
        </w:rPr>
        <w:t xml:space="preserve">Host discovery uses Nmap's ARP ping scanning (-PR) combined with TCP SYN ping on ports 22, 80, and 443 (-PS22,80,443), with a 10-second per-host timeout. This combination reliably discovers devices on MiFi and firewalled networks where ICMP ping is blocked. Port scanning applies Nmap service version detection (-sV) across 18 IoT-relevant ports per discovered host, with a 60-second per-host timeout to bound worst-case scan duration.</w:t>
      </w:r>
    </w:p>
    <w:p>
      <w:pPr>
        <w:spacing w:after="160" w:before="0" w:line="480" w:lineRule="auto"/>
        <w:ind/>
        <w:jc w:val="both"/>
      </w:pPr>
      <w:r>
        <w:rPr>
          <w:rFonts w:ascii="Times New Roman" w:cs="Times New Roman" w:eastAsia="Times New Roman" w:hAnsi="Times New Roman"/>
          <w:sz w:val="24"/>
          <w:szCs w:val="24"/>
        </w:rPr>
        <w:t xml:space="preserve">Device type identification uses a two-layer system. Layer 1 applies port-based fingerprinting against eight IoT device profiles, each with a minimum match threshold to prevent false positives from shared ports. Layer 2a applies hostname pattern matching using Python regular expressions against 22 manufacturer-standard patterns — including the Android hostname format (^android-[0-9a-f]+$), Apple device patterns, and Windows machine name formats — enabling classification of consumer and embedded devices that expose no IoT-specific ports. Layer 2b applies MAC address OUI lookup against 10 manufacturer prefix groups as a final fallback.</w:t>
      </w:r>
    </w:p>
    <w:p>
      <w:pPr>
        <w:pStyle w:val="Heading2"/>
        <w:spacing w:after="100" w:before="200"/>
      </w:pPr>
      <w:r>
        <w:rPr>
          <w:rFonts w:ascii="Times New Roman" w:cs="Times New Roman" w:eastAsia="Times New Roman" w:hAnsi="Times New Roman"/>
          <w:b/>
          <w:bCs/>
          <w:sz w:val="24"/>
          <w:szCs w:val="24"/>
        </w:rPr>
        <w:t xml:space="preserve">4.3  Vulnerability Analysis Engine</w:t>
      </w:r>
    </w:p>
    <w:p>
      <w:pPr>
        <w:spacing w:after="160" w:before="0" w:line="480" w:lineRule="auto"/>
        <w:ind/>
        <w:jc w:val="both"/>
      </w:pPr>
      <w:r>
        <w:rPr>
          <w:rFonts w:ascii="Times New Roman" w:cs="Times New Roman" w:eastAsia="Times New Roman" w:hAnsi="Times New Roman"/>
          <w:sz w:val="24"/>
          <w:szCs w:val="24"/>
        </w:rPr>
        <w:t xml:space="preserve">The vulnerability analysis engine implements a dictionary-based rule library of seven detection rules covering the OWASP IoT Top 10 (2023) vulnerability classes most commonly exposed through open port enumeration: Telnet (port 23), FTP (port 21), unencrypted MQTT (port 1883), HTTP administrative interfaces (ports 80/8080), VNC remote desktop (port 5900), RTSP streaming (port 554), and TR-069 router management (port 7547). Each rule specifies trigger ports, severity (critical/high/medium/low), and an ndpa_category key linking it to the NDPA_MAPPINGS dictionary. This separation means NDPA provision references can be updated without modifying detection logic. Device security scores use a weighted algorithm: critical findings score 4 points, high 2.5, medium 1, normalised to a 10-point scale.</w:t>
      </w:r>
    </w:p>
    <w:p>
      <w:pPr>
        <w:pStyle w:val="Heading2"/>
        <w:spacing w:after="100" w:before="200"/>
      </w:pPr>
      <w:r>
        <w:rPr>
          <w:rFonts w:ascii="Times New Roman" w:cs="Times New Roman" w:eastAsia="Times New Roman" w:hAnsi="Times New Roman"/>
          <w:b/>
          <w:bCs/>
          <w:sz w:val="24"/>
          <w:szCs w:val="24"/>
        </w:rPr>
        <w:t xml:space="preserve">4.4  Privacy Risk Assessment Engine</w:t>
      </w:r>
    </w:p>
    <w:p>
      <w:pPr>
        <w:spacing w:after="160" w:before="0" w:line="480" w:lineRule="auto"/>
        <w:ind/>
        <w:jc w:val="both"/>
      </w:pPr>
      <w:r>
        <w:rPr>
          <w:rFonts w:ascii="Times New Roman" w:cs="Times New Roman" w:eastAsia="Times New Roman" w:hAnsi="Times New Roman"/>
          <w:sz w:val="24"/>
          <w:szCs w:val="24"/>
        </w:rPr>
        <w:t xml:space="preserve">The privacy risk assessment engine implements seven privacy rules mapped to six NDPA data protection principles. Unlike the vulnerability engine, privacy rules trigger on device type, port profile, or both, enabling findings to fire on devices with no open ports if device type alone implies a compliance concern. Table 1 summarises the NDPA compliance mapping framework across both engines.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NDPA Provision</w:t>
            </w:r>
          </w:p>
        </w:tc>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Principle</w:t>
            </w:r>
          </w:p>
        </w:tc>
        <w:tc>
          <w:tcPr>
            <w:tcW w:type="dxa" w:w="51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System Compliance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Section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Lawful Processing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Flag devices enabling unlawful data collection or processing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Section 24(1)(a)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Confidentiality &amp; Access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Identify absent or weak authentication mechanisms on IoT devices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Section 24(1)(b)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Security of Processing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Detect unencrypted protocols and insecure data transmission practices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Section 24(1)(c)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Data Minimisation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Flag devices collecting data beyond what is necessary for stated 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Section 24(1)(d)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Storage Limitation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Identify NAS/storage devices; flag need for data retention policy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Section 24(2)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Data Protection by Design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Flag unnecessarily exposed services and unidentified devices (accountability)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Section 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Breach Notification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Flag vulnerabilities that, if exploited, would trigger breach reporting obligations</w:t>
            </w:r>
          </w:p>
        </w:tc>
      </w:tr>
    </w:tbl>
    <w:p>
      <w:pPr>
        <w:spacing w:after="200" w:before="60"/>
        <w:jc w:val="center"/>
      </w:pPr>
      <w:r>
        <w:rPr>
          <w:rFonts w:ascii="Times New Roman" w:cs="Times New Roman" w:eastAsia="Times New Roman" w:hAnsi="Times New Roman"/>
          <w:i/>
          <w:iCs/>
          <w:sz w:val="20"/>
          <w:szCs w:val="20"/>
        </w:rPr>
        <w:t xml:space="preserve">Table 1: NDPA Compliance Mapping Framework</w:t>
      </w:r>
    </w:p>
    <w:p>
      <w:pPr>
        <w:pStyle w:val="Heading2"/>
        <w:spacing w:after="100" w:before="200"/>
      </w:pPr>
      <w:r>
        <w:rPr>
          <w:rFonts w:ascii="Times New Roman" w:cs="Times New Roman" w:eastAsia="Times New Roman" w:hAnsi="Times New Roman"/>
          <w:b/>
          <w:bCs/>
          <w:sz w:val="24"/>
          <w:szCs w:val="24"/>
        </w:rPr>
        <w:t xml:space="preserve">4.5  Reporting Layer</w:t>
      </w:r>
    </w:p>
    <w:p>
      <w:pPr>
        <w:spacing w:after="160" w:before="0" w:line="480" w:lineRule="auto"/>
        <w:ind/>
        <w:jc w:val="both"/>
      </w:pPr>
      <w:r>
        <w:rPr>
          <w:rFonts w:ascii="Times New Roman" w:cs="Times New Roman" w:eastAsia="Times New Roman" w:hAnsi="Times New Roman"/>
          <w:sz w:val="24"/>
          <w:szCs w:val="24"/>
        </w:rPr>
        <w:t xml:space="preserve">The reporting layer provides three output formats. The aggregate dashboard renders vulnerability severity distributions and per-session scan history using Chart.js doughnut and bar charts. Per-session web reports present all device, port, vulnerability, and privacy risk findings with NDPA provision references in a structured browser interface. PDF reports are generated on demand using ReportLab's Platypus document engine, streaming directly to the browser as a file download without disk writes. The standalone .exe entry point (launcher.py) corrects PyInstaller path handling, sets the working directory to ensure the SQLite database persists alongside the executable, and opens the browser interface automatically on launch.</w:t>
      </w:r>
    </w:p>
    <w:p>
      <w:pPr>
        <w:pStyle w:val="Heading1"/>
        <w:pBdr>
          <w:bottom w:val="single" w:color="CADCFC" w:sz="4" w:space="4"/>
        </w:pBdr>
        <w:spacing w:after="160" w:before="300"/>
      </w:pPr>
      <w:r>
        <w:rPr>
          <w:rFonts w:ascii="Times New Roman" w:cs="Times New Roman" w:eastAsia="Times New Roman" w:hAnsi="Times New Roman"/>
          <w:b/>
          <w:bCs/>
          <w:color w:val="1E2761"/>
          <w:sz w:val="26"/>
          <w:szCs w:val="26"/>
        </w:rPr>
        <w:t xml:space="preserve">5.  Results and Evaluation</w:t>
      </w:r>
    </w:p>
    <w:p>
      <w:pPr>
        <w:pStyle w:val="Heading2"/>
        <w:spacing w:after="100" w:before="200"/>
      </w:pPr>
      <w:r>
        <w:rPr>
          <w:rFonts w:ascii="Times New Roman" w:cs="Times New Roman" w:eastAsia="Times New Roman" w:hAnsi="Times New Roman"/>
          <w:b/>
          <w:bCs/>
          <w:sz w:val="24"/>
          <w:szCs w:val="24"/>
        </w:rPr>
        <w:t xml:space="preserve">5.1  Test Environment and Session #15 Overview</w:t>
      </w:r>
    </w:p>
    <w:p>
      <w:pPr>
        <w:spacing w:after="160" w:before="0" w:line="480" w:lineRule="auto"/>
        <w:ind/>
        <w:jc w:val="both"/>
      </w:pPr>
      <w:r>
        <w:rPr>
          <w:rFonts w:ascii="Times New Roman" w:cs="Times New Roman" w:eastAsia="Times New Roman" w:hAnsi="Times New Roman"/>
          <w:sz w:val="24"/>
          <w:szCs w:val="24"/>
        </w:rPr>
        <w:t xml:space="preserve">The evaluation was conducted on a live MiFi mobile hotspot network (192.168.0.0/24) on 29 May 2026, comprising four devices: a MiFi router/gateway (192.168.0.1), an Android-based car headunit (192.168.0.133, hostname: android-bcbd3015cd2b640d), and two other connected devices at 192.168.0.134 and 192.168.0.148 (hostname: ORION). The Android car headunit — an in-vehicle infotainment system running Android — represents a class of IoT edge device increasingly prevalent in Nigeria that is rarely included in conventional IT security assessments, yet may collect GPS location history, driving behaviour data, and personal information from paired mobile devices via Bluetooth synchronisation. Table 2 presents the Session #15 executive summary.</w:t>
      </w:r>
    </w:p>
    <w:p>
      <w:pPr>
        <w:spacing w:after="6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Scan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Completed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Scan Duration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~7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Devices Discovered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Open Ports Found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Total Vulnerabilities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 (Medium)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Privacy Risks Found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6 (1 Critical, 1 High, 4 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Network Privacy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3.1 /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Test Cases Passed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 / 5</w:t>
            </w:r>
          </w:p>
        </w:tc>
      </w:tr>
    </w:tbl>
    <w:p>
      <w:pPr>
        <w:spacing w:after="200" w:before="60"/>
        <w:jc w:val="center"/>
      </w:pPr>
      <w:r>
        <w:rPr>
          <w:rFonts w:ascii="Times New Roman" w:cs="Times New Roman" w:eastAsia="Times New Roman" w:hAnsi="Times New Roman"/>
          <w:i/>
          <w:iCs/>
          <w:sz w:val="20"/>
          <w:szCs w:val="20"/>
        </w:rPr>
        <w:t xml:space="preserve">Table 2: Session #15 Executive Summary</w:t>
      </w:r>
    </w:p>
    <w:p>
      <w:pPr>
        <w:pStyle w:val="Heading2"/>
        <w:spacing w:after="100" w:before="200"/>
      </w:pPr>
      <w:r>
        <w:rPr>
          <w:rFonts w:ascii="Times New Roman" w:cs="Times New Roman" w:eastAsia="Times New Roman" w:hAnsi="Times New Roman"/>
          <w:b/>
          <w:bCs/>
          <w:sz w:val="24"/>
          <w:szCs w:val="24"/>
        </w:rPr>
        <w:t xml:space="preserve">5.2  Device Discovery and Identification</w:t>
      </w:r>
    </w:p>
    <w:p>
      <w:pPr>
        <w:spacing w:after="160" w:before="0" w:line="480" w:lineRule="auto"/>
        <w:ind/>
        <w:jc w:val="both"/>
      </w:pPr>
      <w:r>
        <w:rPr>
          <w:rFonts w:ascii="Times New Roman" w:cs="Times New Roman" w:eastAsia="Times New Roman" w:hAnsi="Times New Roman"/>
          <w:sz w:val="24"/>
          <w:szCs w:val="24"/>
        </w:rPr>
        <w:t xml:space="preserve">All four devices were successfully discovered within the seven-minute scan window, confirming that the multi-method ARP and TCP SYN discovery approach reliably enumerates devices on firewalled MiFi networks. The two-layer identification system correctly classified the MiFi router as Router/Gateway (Layer 1, port fingerprinting) and the car headunit at 192.168.0.133 as Android Device (Layer 2a, hostname pattern matching against the android-[hexstring] format). The devices at 192.168.0.134 and 192.168.0.148 (ORION) were correctly returned as Unknown Device — ORION is a user-assigned machine name without a manufacturer-standard format, and neither device exposed an accessible MAC address prefix at the application layer. This is the correct output: the system does not infer device type where insufficient evidence exists.</w:t>
      </w:r>
    </w:p>
    <w:p>
      <w:pPr>
        <w:pStyle w:val="Heading2"/>
        <w:spacing w:after="100" w:before="200"/>
      </w:pPr>
      <w:r>
        <w:rPr>
          <w:rFonts w:ascii="Times New Roman" w:cs="Times New Roman" w:eastAsia="Times New Roman" w:hAnsi="Times New Roman"/>
          <w:b/>
          <w:bCs/>
          <w:sz w:val="24"/>
          <w:szCs w:val="24"/>
        </w:rPr>
        <w:t xml:space="preserve">5.3  Vulnerability Findings</w:t>
      </w:r>
    </w:p>
    <w:p>
      <w:pPr>
        <w:spacing w:after="160" w:before="0" w:line="480" w:lineRule="auto"/>
        <w:ind/>
        <w:jc w:val="both"/>
      </w:pPr>
      <w:r>
        <w:rPr>
          <w:rFonts w:ascii="Times New Roman" w:cs="Times New Roman" w:eastAsia="Times New Roman" w:hAnsi="Times New Roman"/>
          <w:sz w:val="24"/>
          <w:szCs w:val="24"/>
        </w:rPr>
        <w:t xml:space="preserve">The vulnerability engine generated one medium-severity finding: an unencrypted HTTP administrative interface on the router (port 80, MiWiFi HTTP Service), mapped to NDPA Section 24(1)(b) and Section 25. The router's security risk score was 1.0/10. The three other devices received scores of 0.0/10, as none exposed vulnerability-triggering ports. The absence of vulnerability findings on consumer and embedded devices is technically correct — these devices do not expose IoT-specific services — but underscores the necessity of the complementary privacy risk assessment layer.</w:t>
      </w:r>
    </w:p>
    <w:p>
      <w:pPr>
        <w:pStyle w:val="Heading2"/>
        <w:spacing w:after="100" w:before="200"/>
      </w:pPr>
      <w:r>
        <w:rPr>
          <w:rFonts w:ascii="Times New Roman" w:cs="Times New Roman" w:eastAsia="Times New Roman" w:hAnsi="Times New Roman"/>
          <w:b/>
          <w:bCs/>
          <w:sz w:val="24"/>
          <w:szCs w:val="24"/>
        </w:rPr>
        <w:t xml:space="preserve">5.4  Privacy Risk Findings</w:t>
      </w:r>
    </w:p>
    <w:p>
      <w:pPr>
        <w:spacing w:after="160" w:before="0" w:line="480" w:lineRule="auto"/>
        <w:ind/>
        <w:jc w:val="both"/>
      </w:pPr>
      <w:r>
        <w:rPr>
          <w:rFonts w:ascii="Times New Roman" w:cs="Times New Roman" w:eastAsia="Times New Roman" w:hAnsi="Times New Roman"/>
          <w:sz w:val="24"/>
          <w:szCs w:val="24"/>
        </w:rPr>
        <w:t xml:space="preserve">The privacy engine generated six findings across four devices. The router attracted three findings: a critical Unencrypted Data Transmission finding (Section 24(1)(b)), a high Video Surveillance Device Detected finding (Section 10, a known false positive discussed below), and a medium Router/Gateway accountability finding (Section 24(2)). Each of the three remaining devices received a medium Unknown Device accountability finding under Section 24(2). The car headunit's accountability finding is particularly significant: while the device exposes no port-based attack surface, the NDPA's accountability obligation under Section 24(2) applies regardless — an organisation deploying a car headunit that collects location data, driving behaviour, and Bluetooth-synced contact information is required to document and justify that processing activity, irrespective of whether the device presents a conventional security vulnerability.</w:t>
      </w:r>
    </w:p>
    <w:p>
      <w:pPr>
        <w:spacing w:after="160" w:before="0" w:line="480" w:lineRule="auto"/>
        <w:ind/>
        <w:jc w:val="both"/>
      </w:pPr>
      <w:r>
        <w:rPr>
          <w:rFonts w:ascii="Times New Roman" w:cs="Times New Roman" w:eastAsia="Times New Roman" w:hAnsi="Times New Roman"/>
          <w:sz w:val="24"/>
          <w:szCs w:val="24"/>
        </w:rPr>
        <w:t xml:space="preserve">The video surveillance finding on the router is a confirmed false positive: the PRIV-001 rule fires on port 80, which is shared by both routers and IP cameras. This design limitation — discussed further in Section 6 — requires the rule to be extended with device type qualification so that it fires only when the device is also classified as IP Camera.</w:t>
      </w:r>
    </w:p>
    <w:p>
      <w:pPr>
        <w:pStyle w:val="Heading2"/>
        <w:spacing w:after="100" w:before="200"/>
      </w:pPr>
      <w:r>
        <w:rPr>
          <w:rFonts w:ascii="Times New Roman" w:cs="Times New Roman" w:eastAsia="Times New Roman" w:hAnsi="Times New Roman"/>
          <w:b/>
          <w:bCs/>
          <w:sz w:val="24"/>
          <w:szCs w:val="24"/>
        </w:rPr>
        <w:t xml:space="preserve">5.5  Objectives Attainment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00"/>
        <w:gridCol w:w="3040"/>
      </w:tblGrid>
      <w:tr>
        <w:tc>
          <w:tcPr>
            <w:tcW w:type="dxa" w:w="7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Obj.</w:t>
            </w:r>
          </w:p>
        </w:tc>
        <w:tc>
          <w:tcPr>
            <w:tcW w:type="dxa" w:w="5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Objective</w:t>
            </w:r>
          </w:p>
        </w:tc>
        <w:tc>
          <w:tcPr>
            <w:tcW w:type="dxa" w:w="30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Assessment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Create a model to evaluate vulnerabilities in IoT edge infrastructure</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Fully Met — 7 rules, correct NDPA mapping, proportionate scoring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Create a system to identify IoT devices and common security weaknesses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Substantially Met — router and car headunit identified; 2 devices Unknown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Implement a privacy risk assessment module</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Fully Met — 6 findings across 4 devices, all with NDPA principle mapping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Integrate NDPA compliance mapping mechanisms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Fully Met — all 7 findings mapped to named NDPA provisions (verified)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Create a reporting dashboard producing compliance reports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Fully Met — web report, PDF export, Chart.js dashboard all operational</w:t>
            </w:r>
          </w:p>
        </w:tc>
      </w:tr>
    </w:tbl>
    <w:p>
      <w:pPr>
        <w:spacing w:after="200" w:before="60"/>
        <w:jc w:val="center"/>
      </w:pPr>
      <w:r>
        <w:rPr>
          <w:rFonts w:ascii="Times New Roman" w:cs="Times New Roman" w:eastAsia="Times New Roman" w:hAnsi="Times New Roman"/>
          <w:i/>
          <w:iCs/>
          <w:sz w:val="20"/>
          <w:szCs w:val="20"/>
        </w:rPr>
        <w:t xml:space="preserve">Table 3: Research Objectives Attainment Summary</w:t>
      </w:r>
    </w:p>
    <w:p>
      <w:pPr>
        <w:pStyle w:val="Heading2"/>
        <w:spacing w:after="100" w:before="200"/>
      </w:pPr>
      <w:r>
        <w:rPr>
          <w:rFonts w:ascii="Times New Roman" w:cs="Times New Roman" w:eastAsia="Times New Roman" w:hAnsi="Times New Roman"/>
          <w:b/>
          <w:bCs/>
          <w:sz w:val="24"/>
          <w:szCs w:val="24"/>
        </w:rPr>
        <w:t xml:space="preserve">5.6  Comparison with IoT Inspector (NYU, 2021)</w:t>
      </w:r>
    </w:p>
    <w:p>
      <w:pPr>
        <w:spacing w:after="160" w:before="0" w:line="480" w:lineRule="auto"/>
        <w:ind/>
        <w:jc w:val="both"/>
      </w:pPr>
      <w:r>
        <w:rPr>
          <w:rFonts w:ascii="Times New Roman" w:cs="Times New Roman" w:eastAsia="Times New Roman" w:hAnsi="Times New Roman"/>
          <w:sz w:val="24"/>
          <w:szCs w:val="24"/>
        </w:rPr>
        <w:t xml:space="preserve">IoT Inspector is the most methodologically similar prior work — an empirically tested, network-based privacy assessment tool. Both systems identify devices through MAC OUI and hostname analysis. However, the systems occupy distinct positions in the assessment landscape. IoT Inspector excels at detecting subtle privacy-concerning behaviours through continuous passive traffic monitoring — identifying data leakage to third-party endpoints and unexpected device communications that are invisible to port scanning. The present system excels at active vulnerability detection and, critically, NDPA-specific compliance mapping: IoT Inspector would observe the router's unencrypted HTTP traffic but would not identify the VULN-004 vulnerability, assign a medium severity rating, reference Section 24(1)(b) of the NDPA, or generate a remediation recommendation. IoT Inspector generates no findings mapped to any regulatory framework. The present system's seven Session #15 findings are each linked to a named NDPA provision — the capability that addresses the gap no prior tool has filled for Nigerian organisations. The two tools are complementary: combining active vulnerability scanning with passive traffic monitoring would produce the most comprehensive NDPA compliance posture assessment.</w:t>
      </w:r>
    </w:p>
    <w:p>
      <w:pPr>
        <w:pStyle w:val="Heading1"/>
        <w:pBdr>
          <w:bottom w:val="single" w:color="CADCFC" w:sz="4" w:space="4"/>
        </w:pBdr>
        <w:spacing w:after="160" w:before="300"/>
      </w:pPr>
      <w:r>
        <w:rPr>
          <w:rFonts w:ascii="Times New Roman" w:cs="Times New Roman" w:eastAsia="Times New Roman" w:hAnsi="Times New Roman"/>
          <w:b/>
          <w:bCs/>
          <w:color w:val="1E2761"/>
          <w:sz w:val="26"/>
          <w:szCs w:val="26"/>
        </w:rPr>
        <w:t xml:space="preserve">6.  Conclusion</w:t>
      </w:r>
    </w:p>
    <w:p>
      <w:pPr>
        <w:spacing w:after="160" w:before="0" w:line="480" w:lineRule="auto"/>
        <w:ind/>
        <w:jc w:val="both"/>
      </w:pPr>
      <w:r>
        <w:rPr>
          <w:rFonts w:ascii="Times New Roman" w:cs="Times New Roman" w:eastAsia="Times New Roman" w:hAnsi="Times New Roman"/>
          <w:sz w:val="24"/>
          <w:szCs w:val="24"/>
        </w:rPr>
        <w:t xml:space="preserve">This paper has presented the design, implementation, and empirical evaluation of an NDPA-compliant IoT edge vulnerability assessment system, demonstrating that it is technically feasible to build a lightweight, locally contextualised IoT security and compliance assessment tool within the resource constraints of an individual academic prototype. The system addresses the primary gap identified in the literature — the absence of tools mapping IoT security findings to NDPA obligations — through a structured three-stage compliance mapping framework covering seven vulnerability categories and six data protection principles across Sections 10, 24, and 25 of the NDPA 2023. Empirical evaluation confirmed that four of five research objectives were fully met and one substantially met, with the system correctly identifying an Android car headunit as an IoT edge device with NDPA accountability obligations — a device category overlooked by all reviewed existing tools.</w:t>
      </w:r>
    </w:p>
    <w:p>
      <w:pPr>
        <w:spacing w:after="160" w:before="0" w:line="480" w:lineRule="auto"/>
        <w:ind/>
        <w:jc w:val="both"/>
      </w:pPr>
      <w:r>
        <w:rPr>
          <w:rFonts w:ascii="Times New Roman" w:cs="Times New Roman" w:eastAsia="Times New Roman" w:hAnsi="Times New Roman"/>
          <w:sz w:val="24"/>
          <w:szCs w:val="24"/>
        </w:rPr>
        <w:t xml:space="preserve">Four limitations are acknowledged. First, the prototype was tested on four devices; performance at enterprise scale remains unvalidated. Second, the rule-based passive scanning approach cannot detect firmware vulnerabilities, zero-day threats, or application-layer weaknesses. Third, privacy findings are inferred from device type and port profile rather than confirmed through active data flow inspection. Fourth, the NDPA compliance mappings have not been formally validated by a qualified Nigerian data protection practitioner.</w:t>
      </w:r>
    </w:p>
    <w:p>
      <w:pPr>
        <w:spacing w:after="160" w:before="0" w:line="480" w:lineRule="auto"/>
        <w:ind/>
        <w:jc w:val="both"/>
      </w:pPr>
      <w:r>
        <w:rPr>
          <w:rFonts w:ascii="Times New Roman" w:cs="Times New Roman" w:eastAsia="Times New Roman" w:hAnsi="Times New Roman"/>
          <w:sz w:val="24"/>
          <w:szCs w:val="24"/>
        </w:rPr>
        <w:t xml:space="preserve">Seven recommendations for future development are proposed, in priority order: (R1) refine the video surveillance privacy rule to require device type qualification, eliminating the confirmed false positive; (R2) develop dedicated privacy rules for Android car headunits and mobile devices; (R3) introduce combined port-and-device-type matching across all privacy rules; (R4) implement parallel scanning for improved performance on larger networks; (R5) migrate to PostgreSQL for multi-user deployment; (R6) extend NDPA coverage to include CBN, NCC, and National Health Act sector frameworks; and (R7) incorporate OS fingerprinting and mDNS service discovery to reduce Unknown Device classifications.</w:t>
      </w:r>
    </w:p>
    <w:p>
      <w:pPr>
        <w:spacing w:after="160" w:before="0" w:line="480" w:lineRule="auto"/>
        <w:ind/>
        <w:jc w:val="both"/>
      </w:pPr>
      <w:r>
        <w:rPr>
          <w:rFonts w:ascii="Times New Roman" w:cs="Times New Roman" w:eastAsia="Times New Roman" w:hAnsi="Times New Roman"/>
          <w:sz w:val="24"/>
          <w:szCs w:val="24"/>
        </w:rPr>
        <w:t xml:space="preserve">The broader contribution of this work is a replicable methodology for localising IoT vulnerability assessment tools to national data protection regulatory frameworks. The three-stage NDPA mapping approach is framework-agnostic and could be adapted to Kenya's Data Protection Act, South Africa's POPIA, Ghana's Data Protection Act, or any other African data protection instrument, providing a model for building compliance-contextualised IoT security tooling across the continent.</w:t>
      </w:r>
    </w:p>
    <w:p>
      <w:r>
        <w:br w:type="page"/>
      </w:r>
    </w:p>
    <w:p>
      <w:pPr>
        <w:pStyle w:val="Heading1"/>
        <w:pBdr>
          <w:bottom w:val="single" w:color="CADCFC" w:sz="4" w:space="4"/>
        </w:pBdr>
        <w:spacing w:after="160" w:before="300"/>
      </w:pPr>
      <w:r>
        <w:rPr>
          <w:rFonts w:ascii="Times New Roman" w:cs="Times New Roman" w:eastAsia="Times New Roman" w:hAnsi="Times New Roman"/>
          <w:b/>
          <w:bCs/>
          <w:color w:val="1E2761"/>
          <w:sz w:val="26"/>
          <w:szCs w:val="26"/>
        </w:rPr>
        <w:t xml:space="preserve">References</w:t>
      </w:r>
    </w:p>
    <w:p>
      <w:pPr>
        <w:spacing w:after="160" w:before="0" w:line="480" w:lineRule="auto"/>
        <w:ind w:left="720" w:hanging="720"/>
        <w:jc w:val="both"/>
      </w:pPr>
      <w:r>
        <w:rPr>
          <w:rFonts w:ascii="Times New Roman" w:cs="Times New Roman" w:eastAsia="Times New Roman" w:hAnsi="Times New Roman"/>
          <w:sz w:val="24"/>
          <w:szCs w:val="24"/>
        </w:rPr>
        <w:t xml:space="preserve">Alwarafy, A., Al-Thelaya, K. A., Abdallah, M., Schneider, J., &amp; Hamdi, M. (2020). A survey on security and privacy issues in edge computing-assisted internet of things. IEEE Internet of Things Journal, 8(6), 4004–4022. https://doi.org/10.1109/JIOT.2020.3023392</w:t>
      </w:r>
    </w:p>
    <w:p>
      <w:pPr>
        <w:spacing w:after="160" w:before="0" w:line="480" w:lineRule="auto"/>
        <w:ind w:left="720" w:hanging="720"/>
        <w:jc w:val="both"/>
      </w:pPr>
      <w:r>
        <w:rPr>
          <w:rFonts w:ascii="Times New Roman" w:cs="Times New Roman" w:eastAsia="Times New Roman" w:hAnsi="Times New Roman"/>
          <w:sz w:val="24"/>
          <w:szCs w:val="24"/>
        </w:rPr>
        <w:t xml:space="preserve">Anand, P., Singh, Y., Selwal, A., &amp; Kumar, P. K. (2020). IoT vulnerability assessment for sustainable computing: Threats, current solutions, and open challenges. IEEE Access, 8, 168825–168853. https://doi.org/10.1109/ACCESS.2020.3023432</w:t>
      </w:r>
    </w:p>
    <w:p>
      <w:pPr>
        <w:spacing w:after="160" w:before="0" w:line="480" w:lineRule="auto"/>
        <w:ind w:left="720" w:hanging="720"/>
        <w:jc w:val="both"/>
      </w:pPr>
      <w:r>
        <w:rPr>
          <w:rFonts w:ascii="Times New Roman" w:cs="Times New Roman" w:eastAsia="Times New Roman" w:hAnsi="Times New Roman"/>
          <w:sz w:val="24"/>
          <w:szCs w:val="24"/>
        </w:rPr>
        <w:t xml:space="preserve">Conti, M., Dehghantanha, A., Franke, K., &amp; Watson, S. (2018). Internet of Things security and forensics: Challenges and opportunities. Future Generation Computer Systems, 78(2), 544–546. https://doi.org/10.1016/j.future.2017.07.060</w:t>
      </w:r>
    </w:p>
    <w:p>
      <w:pPr>
        <w:spacing w:after="160" w:before="0" w:line="480" w:lineRule="auto"/>
        <w:ind w:left="720" w:hanging="720"/>
        <w:jc w:val="both"/>
      </w:pPr>
      <w:r>
        <w:rPr>
          <w:rFonts w:ascii="Times New Roman" w:cs="Times New Roman" w:eastAsia="Times New Roman" w:hAnsi="Times New Roman"/>
          <w:sz w:val="24"/>
          <w:szCs w:val="24"/>
        </w:rPr>
        <w:t xml:space="preserve">Deep, S., Zheng, X., Jolfaei, A., Yu, D., Ostry, D., &amp; Choo, K.-K. R. (2020). A survey of security and privacy issues in the Internet of Things from industrial and consumer perspectives. IEEE Systems Journal, 14(2), 1980–1996. https://doi.org/10.1109/JSYST.2019.2939630</w:t>
      </w:r>
    </w:p>
    <w:p>
      <w:pPr>
        <w:spacing w:after="160" w:before="0" w:line="480" w:lineRule="auto"/>
        <w:ind w:left="720" w:hanging="720"/>
        <w:jc w:val="both"/>
      </w:pPr>
      <w:r>
        <w:rPr>
          <w:rFonts w:ascii="Times New Roman" w:cs="Times New Roman" w:eastAsia="Times New Roman" w:hAnsi="Times New Roman"/>
          <w:sz w:val="24"/>
          <w:szCs w:val="24"/>
        </w:rPr>
        <w:t xml:space="preserve">Greenleaf, G. (2021). Global data privacy laws 2021: Despite COVID delays, 145 laws show GDPR dominance. Privacy Laws &amp; Business International Report, 171, 1–4.</w:t>
      </w:r>
    </w:p>
    <w:p>
      <w:pPr>
        <w:spacing w:after="160" w:before="0" w:line="480" w:lineRule="auto"/>
        <w:ind w:left="720" w:hanging="720"/>
        <w:jc w:val="both"/>
      </w:pPr>
      <w:r>
        <w:rPr>
          <w:rFonts w:ascii="Times New Roman" w:cs="Times New Roman" w:eastAsia="Times New Roman" w:hAnsi="Times New Roman"/>
          <w:sz w:val="24"/>
          <w:szCs w:val="24"/>
        </w:rPr>
        <w:t xml:space="preserve">Hevner, A. R., March, S. T., Park, J., &amp; Ram, S. (2004). Design science in information systems research. MIS Quarterly, 28(1), 75–105. https://doi.org/10.2307/25148480</w:t>
      </w:r>
    </w:p>
    <w:p>
      <w:pPr>
        <w:spacing w:after="160" w:before="0" w:line="480" w:lineRule="auto"/>
        <w:ind w:left="720" w:hanging="720"/>
        <w:jc w:val="both"/>
      </w:pPr>
      <w:r>
        <w:rPr>
          <w:rFonts w:ascii="Times New Roman" w:cs="Times New Roman" w:eastAsia="Times New Roman" w:hAnsi="Times New Roman"/>
          <w:sz w:val="24"/>
          <w:szCs w:val="24"/>
        </w:rPr>
        <w:t xml:space="preserve">IoT Inspector, NYU. (2021). IoT Inspector: Crowdsourcing labeled network traffic from smart home devices at scale. Proceedings on Privacy Enhancing Technologies, 2021(3), 441–461. https://doi.org/10.2478/popets-2021-0045</w:t>
      </w:r>
    </w:p>
    <w:p>
      <w:pPr>
        <w:spacing w:after="160" w:before="0" w:line="480" w:lineRule="auto"/>
        <w:ind w:left="720" w:hanging="720"/>
        <w:jc w:val="both"/>
      </w:pPr>
      <w:r>
        <w:rPr>
          <w:rFonts w:ascii="Times New Roman" w:cs="Times New Roman" w:eastAsia="Times New Roman" w:hAnsi="Times New Roman"/>
          <w:sz w:val="24"/>
          <w:szCs w:val="24"/>
        </w:rPr>
        <w:t xml:space="preserve">Iyamu, T., &amp; Mhlongo, N. (2022). Cybersecurity and data governance challenges in developing economies: A South African perspective. Journal of Information Technology &amp; Politics, 19(3), 201–218. https://doi.org/10.1080/19331681.2021.1942887</w:t>
      </w:r>
    </w:p>
    <w:p>
      <w:pPr>
        <w:spacing w:after="160" w:before="0" w:line="480" w:lineRule="auto"/>
        <w:ind w:left="720" w:hanging="720"/>
        <w:jc w:val="both"/>
      </w:pPr>
      <w:r>
        <w:rPr>
          <w:rFonts w:ascii="Times New Roman" w:cs="Times New Roman" w:eastAsia="Times New Roman" w:hAnsi="Times New Roman"/>
          <w:sz w:val="24"/>
          <w:szCs w:val="24"/>
        </w:rPr>
        <w:t xml:space="preserve">Lu, Y., &amp; Xu, L. D. (2020). Privacy and data security risk management for IoT applications. IEEE Internet of Things Journal, 7(9), 8849–8853. https://doi.org/10.1109/JIOT.2020.2993904</w:t>
      </w:r>
    </w:p>
    <w:p>
      <w:pPr>
        <w:spacing w:after="160" w:before="0" w:line="480" w:lineRule="auto"/>
        <w:ind w:left="720" w:hanging="720"/>
        <w:jc w:val="both"/>
      </w:pPr>
      <w:r>
        <w:rPr>
          <w:rFonts w:ascii="Times New Roman" w:cs="Times New Roman" w:eastAsia="Times New Roman" w:hAnsi="Times New Roman"/>
          <w:sz w:val="24"/>
          <w:szCs w:val="24"/>
        </w:rPr>
        <w:t xml:space="preserve">Nigeria Data Protection Act (NDPA). (2023). Federal Republic of Nigeria Official Gazette.</w:t>
      </w:r>
    </w:p>
    <w:p>
      <w:pPr>
        <w:spacing w:after="160" w:before="0" w:line="480" w:lineRule="auto"/>
        <w:ind w:left="720" w:hanging="720"/>
        <w:jc w:val="both"/>
      </w:pPr>
      <w:r>
        <w:rPr>
          <w:rFonts w:ascii="Times New Roman" w:cs="Times New Roman" w:eastAsia="Times New Roman" w:hAnsi="Times New Roman"/>
          <w:sz w:val="24"/>
          <w:szCs w:val="24"/>
        </w:rPr>
        <w:t xml:space="preserve">Nigeria Data Protection Commission (NDPC). (2024). Annual report on data protection compliance in Nigeria. Nigeria Data Protection Commission.</w:t>
      </w:r>
    </w:p>
    <w:p>
      <w:pPr>
        <w:spacing w:after="160" w:before="0" w:line="480" w:lineRule="auto"/>
        <w:ind w:left="720" w:hanging="720"/>
        <w:jc w:val="both"/>
      </w:pPr>
      <w:r>
        <w:rPr>
          <w:rFonts w:ascii="Times New Roman" w:cs="Times New Roman" w:eastAsia="Times New Roman" w:hAnsi="Times New Roman"/>
          <w:sz w:val="24"/>
          <w:szCs w:val="24"/>
        </w:rPr>
        <w:t xml:space="preserve">NIST. (2020a). NISTIR 8259: Foundational cybersecurity activities for IoT device manufacturers. National Institute of Standards and Technology. https://doi.org/10.6028/NIST.IR.8259</w:t>
      </w:r>
    </w:p>
    <w:p>
      <w:pPr>
        <w:spacing w:after="160" w:before="0" w:line="480" w:lineRule="auto"/>
        <w:ind w:left="720" w:hanging="720"/>
        <w:jc w:val="both"/>
      </w:pPr>
      <w:r>
        <w:rPr>
          <w:rFonts w:ascii="Times New Roman" w:cs="Times New Roman" w:eastAsia="Times New Roman" w:hAnsi="Times New Roman"/>
          <w:sz w:val="24"/>
          <w:szCs w:val="24"/>
        </w:rPr>
        <w:t xml:space="preserve">NIST. (2020b). NIST Cybersecurity Framework version 1.1. National Institute of Standards and Technology. https://doi.org/10.6028/NIST.CSWP.04162018</w:t>
      </w:r>
    </w:p>
    <w:p>
      <w:pPr>
        <w:spacing w:after="160" w:before="0" w:line="480" w:lineRule="auto"/>
        <w:ind w:left="720" w:hanging="720"/>
        <w:jc w:val="both"/>
      </w:pPr>
      <w:r>
        <w:rPr>
          <w:rFonts w:ascii="Times New Roman" w:cs="Times New Roman" w:eastAsia="Times New Roman" w:hAnsi="Times New Roman"/>
          <w:sz w:val="24"/>
          <w:szCs w:val="24"/>
        </w:rPr>
        <w:t xml:space="preserve">NIST. (2021). SP 800-30 Rev. 1: Guide for conducting risk assessments. National Institute of Standards and Technology. https://doi.org/10.6028/NIST.SP.800-30r1</w:t>
      </w:r>
    </w:p>
    <w:p>
      <w:pPr>
        <w:spacing w:after="160" w:before="0" w:line="480" w:lineRule="auto"/>
        <w:ind w:left="720" w:hanging="720"/>
        <w:jc w:val="both"/>
      </w:pPr>
      <w:r>
        <w:rPr>
          <w:rFonts w:ascii="Times New Roman" w:cs="Times New Roman" w:eastAsia="Times New Roman" w:hAnsi="Times New Roman"/>
          <w:sz w:val="24"/>
          <w:szCs w:val="24"/>
        </w:rPr>
        <w:t xml:space="preserve">NIST. (2023). SP 800-115: Technical guide to information security testing and assessment. National Institute of Standards and Technology. https://doi.org/10.6028/NIST.SP.800-115</w:t>
      </w:r>
    </w:p>
    <w:p>
      <w:pPr>
        <w:spacing w:after="160" w:before="0" w:line="480" w:lineRule="auto"/>
        <w:ind w:left="720" w:hanging="720"/>
        <w:jc w:val="both"/>
      </w:pPr>
      <w:r>
        <w:rPr>
          <w:rFonts w:ascii="Times New Roman" w:cs="Times New Roman" w:eastAsia="Times New Roman" w:hAnsi="Times New Roman"/>
          <w:sz w:val="24"/>
          <w:szCs w:val="24"/>
        </w:rPr>
        <w:t xml:space="preserve">Obaidat, M. S., Obeidat, S., Holst, J., Al Hayajneh, A., &amp; Brown, J. (2020). A comprehensive and systematic survey on the internet of things: Security and privacy challenges, security frameworks, enabling technologies, threats, vulnerabilities and countermeasures. Computers, 9(2), 44. https://doi.org/10.3390/computers9020044</w:t>
      </w:r>
    </w:p>
    <w:p>
      <w:pPr>
        <w:spacing w:after="160" w:before="0" w:line="480" w:lineRule="auto"/>
        <w:ind w:left="720" w:hanging="720"/>
        <w:jc w:val="both"/>
      </w:pPr>
      <w:r>
        <w:rPr>
          <w:rFonts w:ascii="Times New Roman" w:cs="Times New Roman" w:eastAsia="Times New Roman" w:hAnsi="Times New Roman"/>
          <w:sz w:val="24"/>
          <w:szCs w:val="24"/>
        </w:rPr>
        <w:t xml:space="preserve">OWASP. (2023). OWASP IoT Top 10. Open Web Application Security Project. https://owasp.org/www-project-internet-of-things/</w:t>
      </w:r>
    </w:p>
    <w:p>
      <w:pPr>
        <w:spacing w:after="160" w:before="0" w:line="480" w:lineRule="auto"/>
        <w:ind w:left="720" w:hanging="720"/>
        <w:jc w:val="both"/>
      </w:pPr>
      <w:r>
        <w:rPr>
          <w:rFonts w:ascii="Times New Roman" w:cs="Times New Roman" w:eastAsia="Times New Roman" w:hAnsi="Times New Roman"/>
          <w:sz w:val="24"/>
          <w:szCs w:val="24"/>
        </w:rPr>
        <w:t xml:space="preserve">Pressman, R. S., &amp; Maxim, B. R. (2020). Software engineering: A practitioner's approach (9th ed.). McGraw-Hill Education.</w:t>
      </w:r>
    </w:p>
    <w:p>
      <w:pPr>
        <w:spacing w:after="160" w:before="0" w:line="480" w:lineRule="auto"/>
        <w:ind w:left="720" w:hanging="720"/>
        <w:jc w:val="both"/>
      </w:pPr>
      <w:r>
        <w:rPr>
          <w:rFonts w:ascii="Times New Roman" w:cs="Times New Roman" w:eastAsia="Times New Roman" w:hAnsi="Times New Roman"/>
          <w:sz w:val="24"/>
          <w:szCs w:val="24"/>
        </w:rPr>
        <w:t xml:space="preserve">Radanliev, P., De Roure, D., Nicolescu, R., Huth, M., &amp; Santos, O. (2021). Future developments in standardisation of cyber risk in the Internet of Things (IoT). SN Applied Sciences, 3(2), 1–16. https://doi.org/10.1007/s42452-021-04485-5</w:t>
      </w:r>
    </w:p>
    <w:p>
      <w:pPr>
        <w:spacing w:after="160" w:before="0" w:line="480" w:lineRule="auto"/>
        <w:ind w:left="720" w:hanging="720"/>
        <w:jc w:val="both"/>
      </w:pPr>
      <w:r>
        <w:rPr>
          <w:rFonts w:ascii="Times New Roman" w:cs="Times New Roman" w:eastAsia="Times New Roman" w:hAnsi="Times New Roman"/>
          <w:sz w:val="24"/>
          <w:szCs w:val="24"/>
        </w:rPr>
        <w:t xml:space="preserve">Roman, R., Lopez, J., &amp; Mambo, M. (2021). Mobile edge computing, fog et al.: A survey and analysis of security threats and challenges. Future Generation Computer Systems, 78(2), 680–698. https://doi.org/10.1016/j.future.2016.11.009</w:t>
      </w:r>
    </w:p>
    <w:p>
      <w:pPr>
        <w:spacing w:after="160" w:before="0" w:line="480" w:lineRule="auto"/>
        <w:ind w:left="720" w:hanging="720"/>
        <w:jc w:val="both"/>
      </w:pPr>
      <w:r>
        <w:rPr>
          <w:rFonts w:ascii="Times New Roman" w:cs="Times New Roman" w:eastAsia="Times New Roman" w:hAnsi="Times New Roman"/>
          <w:sz w:val="24"/>
          <w:szCs w:val="24"/>
        </w:rPr>
        <w:t xml:space="preserve">Shi, W., Cao, J., Zhang, Q., Li, Y., &amp; Xu, L. (2020). Edge computing: Vision and challenges. IEEE Internet of Things Journal, 3(5), 637–646. https://doi.org/10.1109/JIOT.2016.2579198</w:t>
      </w:r>
    </w:p>
    <w:p>
      <w:pPr>
        <w:spacing w:after="160" w:before="0" w:line="480" w:lineRule="auto"/>
        <w:ind w:left="720" w:hanging="720"/>
        <w:jc w:val="both"/>
      </w:pPr>
      <w:r>
        <w:rPr>
          <w:rFonts w:ascii="Times New Roman" w:cs="Times New Roman" w:eastAsia="Times New Roman" w:hAnsi="Times New Roman"/>
          <w:sz w:val="24"/>
          <w:szCs w:val="24"/>
        </w:rPr>
        <w:t xml:space="preserve">Tawalbeh, L., Muheidat, F., Tawalbeh, M., &amp; Quwaider, M. (2020). IoT privacy and security: Challenges and solutions. Applied Sciences, 10(12), 4102. https://doi.org/10.3390/app10124102</w:t>
      </w:r>
    </w:p>
    <w:p>
      <w:pPr>
        <w:spacing w:after="160" w:before="0" w:line="480" w:lineRule="auto"/>
        <w:ind w:left="720" w:hanging="720"/>
        <w:jc w:val="both"/>
      </w:pPr>
      <w:r>
        <w:rPr>
          <w:rFonts w:ascii="Times New Roman" w:cs="Times New Roman" w:eastAsia="Times New Roman" w:hAnsi="Times New Roman"/>
          <w:sz w:val="24"/>
          <w:szCs w:val="24"/>
        </w:rPr>
        <w:t xml:space="preserve">Voigt, P., &amp; Von dem Bussche, A. (2021). The EU general data protection regulation (GDPR): A practical guide (2nd ed.). Springer. https://doi.org/10.1007/978-3-319-57959-7</w:t>
      </w:r>
    </w:p>
    <w:p>
      <w:pPr>
        <w:spacing w:after="160" w:before="0" w:line="480" w:lineRule="auto"/>
        <w:ind w:left="720" w:hanging="720"/>
        <w:jc w:val="both"/>
      </w:pPr>
      <w:r>
        <w:rPr>
          <w:rFonts w:ascii="Times New Roman" w:cs="Times New Roman" w:eastAsia="Times New Roman" w:hAnsi="Times New Roman"/>
          <w:sz w:val="24"/>
          <w:szCs w:val="24"/>
        </w:rPr>
        <w:t xml:space="preserve">Zhang, T., Antunes, H., &amp; Aggarwal, S. (2020). Defending connected vehicles against malware: Challenges and a solution framework. IEEE Internet of Things Journal, 1(1), 10–21. https://doi.org/10.1109/JIOT.2014.2302386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1E2761"/>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2026-06-10T18:37:16.440Z</dcterms:created>
  <dcterms:modified xsi:type="dcterms:W3CDTF">2026-06-10T18:37:16.459Z</dcterms:modified>
</cp:coreProperties>
</file>

<file path=docProps/custom.xml><?xml version="1.0" encoding="utf-8"?>
<Properties xmlns="http://schemas.openxmlformats.org/officeDocument/2006/custom-properties" xmlns:vt="http://schemas.openxmlformats.org/officeDocument/2006/docPropsVTypes"/>
</file>