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35364" w14:textId="77777777" w:rsidR="00924F35" w:rsidRPr="003335F8" w:rsidRDefault="00924F35" w:rsidP="00924F35">
      <w:pPr>
        <w:shd w:val="clear" w:color="auto" w:fill="FFFFFF"/>
        <w:spacing w:line="240" w:lineRule="auto"/>
        <w:jc w:val="center"/>
        <w:rPr>
          <w:rFonts w:ascii="Arial" w:eastAsia="Times New Roman" w:hAnsi="Arial" w:cs="Arial"/>
          <w:kern w:val="0"/>
          <w:lang w:eastAsia="en-AU"/>
          <w14:ligatures w14:val="none"/>
        </w:rPr>
      </w:pPr>
      <w:r w:rsidRPr="003335F8">
        <w:rPr>
          <w:rFonts w:ascii="Arial" w:eastAsia="Times New Roman" w:hAnsi="Arial" w:cs="Arial"/>
          <w:color w:val="000000"/>
          <w:kern w:val="0"/>
          <w:sz w:val="44"/>
          <w:szCs w:val="44"/>
          <w:lang w:eastAsia="en-AU"/>
          <w14:ligatures w14:val="none"/>
        </w:rPr>
        <w:t>  </w:t>
      </w:r>
      <w:r w:rsidRPr="003335F8">
        <w:rPr>
          <w:rFonts w:ascii="Arial" w:eastAsia="Times New Roman" w:hAnsi="Arial" w:cs="Arial"/>
          <w:noProof/>
          <w:color w:val="000000"/>
          <w:kern w:val="0"/>
          <w:sz w:val="44"/>
          <w:szCs w:val="44"/>
          <w:lang w:eastAsia="en-AU"/>
          <w14:ligatures w14:val="none"/>
        </w:rPr>
        <w:drawing>
          <wp:inline distT="0" distB="0" distL="0" distR="0" wp14:anchorId="0F29E5B0" wp14:editId="555D411E">
            <wp:extent cx="4518660" cy="2095500"/>
            <wp:effectExtent l="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8660" cy="2095500"/>
                    </a:xfrm>
                    <a:prstGeom prst="rect">
                      <a:avLst/>
                    </a:prstGeom>
                    <a:noFill/>
                    <a:ln>
                      <a:noFill/>
                    </a:ln>
                  </pic:spPr>
                </pic:pic>
              </a:graphicData>
            </a:graphic>
          </wp:inline>
        </w:drawing>
      </w:r>
    </w:p>
    <w:p w14:paraId="1002FBF9" w14:textId="77777777" w:rsidR="00924F35" w:rsidRPr="003335F8" w:rsidRDefault="00924F35" w:rsidP="00924F35">
      <w:pPr>
        <w:spacing w:after="60" w:line="240" w:lineRule="auto"/>
        <w:jc w:val="center"/>
        <w:rPr>
          <w:rFonts w:ascii="Arial" w:eastAsia="Times New Roman" w:hAnsi="Arial" w:cs="Arial"/>
          <w:kern w:val="0"/>
          <w:lang w:eastAsia="en-AU"/>
          <w14:ligatures w14:val="none"/>
        </w:rPr>
      </w:pPr>
      <w:r w:rsidRPr="003335F8">
        <w:rPr>
          <w:rFonts w:ascii="Arial" w:eastAsia="Times New Roman" w:hAnsi="Arial" w:cs="Arial"/>
          <w:color w:val="000000"/>
          <w:kern w:val="0"/>
          <w:sz w:val="44"/>
          <w:szCs w:val="44"/>
          <w:lang w:eastAsia="en-AU"/>
          <w14:ligatures w14:val="none"/>
        </w:rPr>
        <w:t>BMO7006 - Applied Business Project</w:t>
      </w:r>
    </w:p>
    <w:p w14:paraId="5D892E5C" w14:textId="77777777" w:rsidR="00924F35" w:rsidRPr="003335F8" w:rsidRDefault="00924F35" w:rsidP="00924F35">
      <w:pPr>
        <w:shd w:val="clear" w:color="auto" w:fill="FFFFFF"/>
        <w:spacing w:after="0" w:line="240" w:lineRule="auto"/>
        <w:jc w:val="center"/>
        <w:rPr>
          <w:rFonts w:ascii="Arial" w:eastAsia="Times New Roman" w:hAnsi="Arial" w:cs="Arial"/>
          <w:kern w:val="0"/>
          <w:lang w:eastAsia="en-AU"/>
          <w14:ligatures w14:val="none"/>
        </w:rPr>
      </w:pPr>
      <w:r w:rsidRPr="003335F8">
        <w:rPr>
          <w:rFonts w:ascii="Arial" w:eastAsia="Times New Roman" w:hAnsi="Arial" w:cs="Arial"/>
          <w:color w:val="000000"/>
          <w:kern w:val="0"/>
          <w:sz w:val="32"/>
          <w:szCs w:val="32"/>
          <w:lang w:eastAsia="en-AU"/>
          <w14:ligatures w14:val="none"/>
        </w:rPr>
        <w:t>Assessment 3 -</w:t>
      </w:r>
      <w:r w:rsidRPr="003335F8">
        <w:rPr>
          <w:rFonts w:ascii="Arial" w:eastAsia="MS Gothic" w:hAnsi="Arial" w:cs="Arial"/>
          <w:color w:val="000000"/>
          <w:kern w:val="0"/>
          <w:sz w:val="32"/>
          <w:szCs w:val="32"/>
          <w:lang w:eastAsia="en-AU"/>
          <w14:ligatures w14:val="none"/>
        </w:rPr>
        <w:t xml:space="preserve">　</w:t>
      </w:r>
      <w:r w:rsidRPr="003335F8">
        <w:rPr>
          <w:rFonts w:ascii="Arial" w:eastAsia="Times New Roman" w:hAnsi="Arial" w:cs="Arial"/>
          <w:color w:val="000000"/>
          <w:kern w:val="0"/>
          <w:sz w:val="32"/>
          <w:szCs w:val="32"/>
          <w:lang w:eastAsia="en-AU"/>
          <w14:ligatures w14:val="none"/>
        </w:rPr>
        <w:t>Final Report</w:t>
      </w:r>
    </w:p>
    <w:p w14:paraId="72C47462" w14:textId="77777777" w:rsidR="00924F35" w:rsidRPr="003335F8" w:rsidRDefault="00924F35" w:rsidP="00924F35">
      <w:pPr>
        <w:shd w:val="clear" w:color="auto" w:fill="FFFFFF"/>
        <w:spacing w:after="0" w:line="240" w:lineRule="auto"/>
        <w:jc w:val="center"/>
        <w:rPr>
          <w:rFonts w:ascii="Arial" w:eastAsia="Times New Roman" w:hAnsi="Arial" w:cs="Arial"/>
          <w:kern w:val="0"/>
          <w:lang w:eastAsia="en-AU"/>
          <w14:ligatures w14:val="none"/>
        </w:rPr>
      </w:pPr>
    </w:p>
    <w:p w14:paraId="75B1C231" w14:textId="77777777" w:rsidR="00924F35" w:rsidRPr="003335F8" w:rsidRDefault="00924F35" w:rsidP="00924F35">
      <w:pPr>
        <w:shd w:val="clear" w:color="auto" w:fill="FFFFFF"/>
        <w:spacing w:after="0" w:line="240" w:lineRule="auto"/>
        <w:jc w:val="center"/>
        <w:rPr>
          <w:rFonts w:ascii="Arial" w:eastAsia="Times New Roman" w:hAnsi="Arial" w:cs="Arial"/>
          <w:kern w:val="0"/>
          <w:lang w:eastAsia="en-AU"/>
          <w14:ligatures w14:val="none"/>
        </w:rPr>
      </w:pPr>
    </w:p>
    <w:p w14:paraId="3F73D5E6" w14:textId="4EB1CCE9" w:rsidR="00924F35" w:rsidRPr="003335F8" w:rsidRDefault="00924F35" w:rsidP="00924F35">
      <w:pPr>
        <w:shd w:val="clear" w:color="auto" w:fill="FFFFFF"/>
        <w:spacing w:after="0" w:line="240" w:lineRule="auto"/>
        <w:rPr>
          <w:rFonts w:ascii="Arial" w:eastAsia="Times New Roman" w:hAnsi="Arial" w:cs="Arial"/>
          <w:kern w:val="0"/>
          <w:lang w:eastAsia="en-AU"/>
          <w14:ligatures w14:val="none"/>
        </w:rPr>
      </w:pPr>
      <w:r w:rsidRPr="003335F8">
        <w:rPr>
          <w:rFonts w:ascii="Arial" w:eastAsia="Times New Roman" w:hAnsi="Arial" w:cs="Arial"/>
          <w:kern w:val="0"/>
          <w:lang w:eastAsia="en-AU"/>
          <w14:ligatures w14:val="none"/>
        </w:rPr>
        <w:br/>
      </w:r>
      <w:r w:rsidRPr="003335F8">
        <w:rPr>
          <w:rFonts w:ascii="Arial" w:eastAsia="Times New Roman" w:hAnsi="Arial" w:cs="Arial"/>
          <w:kern w:val="0"/>
          <w:lang w:eastAsia="en-AU"/>
          <w14:ligatures w14:val="none"/>
        </w:rPr>
        <w:br/>
      </w:r>
      <w:r w:rsidRPr="003335F8">
        <w:rPr>
          <w:rFonts w:ascii="Arial" w:eastAsia="Times New Roman" w:hAnsi="Arial" w:cs="Arial"/>
          <w:kern w:val="0"/>
          <w:lang w:eastAsia="en-AU"/>
          <w14:ligatures w14:val="none"/>
        </w:rPr>
        <w:br/>
      </w:r>
      <w:r w:rsidRPr="003335F8">
        <w:rPr>
          <w:rFonts w:ascii="Arial" w:eastAsia="Times New Roman" w:hAnsi="Arial" w:cs="Arial"/>
          <w:kern w:val="0"/>
          <w:lang w:eastAsia="en-AU"/>
          <w14:ligatures w14:val="none"/>
        </w:rPr>
        <w:br/>
      </w:r>
    </w:p>
    <w:p w14:paraId="59E1BB62" w14:textId="77777777" w:rsidR="00924F35" w:rsidRPr="003335F8" w:rsidRDefault="00924F35" w:rsidP="00924F35">
      <w:pPr>
        <w:shd w:val="clear" w:color="auto" w:fill="FFFFFF"/>
        <w:spacing w:after="0" w:line="240" w:lineRule="auto"/>
        <w:ind w:left="720"/>
        <w:jc w:val="center"/>
        <w:rPr>
          <w:rFonts w:ascii="Arial" w:eastAsia="Times New Roman" w:hAnsi="Arial" w:cs="Arial"/>
          <w:kern w:val="0"/>
          <w:lang w:eastAsia="en-AU"/>
          <w14:ligatures w14:val="none"/>
        </w:rPr>
      </w:pPr>
    </w:p>
    <w:p w14:paraId="43DE8ED8" w14:textId="77777777" w:rsidR="00924F35" w:rsidRPr="003335F8" w:rsidRDefault="00924F35" w:rsidP="00924F35">
      <w:pPr>
        <w:shd w:val="clear" w:color="auto" w:fill="FFFFFF"/>
        <w:spacing w:after="0" w:line="240" w:lineRule="auto"/>
        <w:ind w:left="720"/>
        <w:jc w:val="center"/>
        <w:rPr>
          <w:rFonts w:ascii="Arial" w:eastAsia="Times New Roman" w:hAnsi="Arial" w:cs="Arial"/>
          <w:kern w:val="0"/>
          <w:lang w:eastAsia="en-AU"/>
          <w14:ligatures w14:val="none"/>
        </w:rPr>
      </w:pPr>
    </w:p>
    <w:p w14:paraId="4C1AD20E" w14:textId="77777777" w:rsidR="00924F35" w:rsidRPr="003335F8" w:rsidRDefault="00924F35" w:rsidP="00924F35">
      <w:pPr>
        <w:spacing w:after="0" w:line="240" w:lineRule="auto"/>
        <w:jc w:val="center"/>
        <w:rPr>
          <w:rFonts w:ascii="Arial" w:eastAsia="Times New Roman" w:hAnsi="Arial" w:cs="Arial"/>
          <w:kern w:val="0"/>
          <w:lang w:eastAsia="en-AU"/>
          <w14:ligatures w14:val="none"/>
        </w:rPr>
      </w:pPr>
      <w:r w:rsidRPr="003335F8">
        <w:rPr>
          <w:rFonts w:ascii="Arial" w:eastAsia="Times New Roman" w:hAnsi="Arial" w:cs="Arial"/>
          <w:color w:val="000000"/>
          <w:kern w:val="0"/>
          <w:sz w:val="32"/>
          <w:szCs w:val="32"/>
          <w:lang w:eastAsia="en-AU"/>
          <w14:ligatures w14:val="none"/>
        </w:rPr>
        <w:t xml:space="preserve">Submitted to: Dr. Evi </w:t>
      </w:r>
      <w:proofErr w:type="spellStart"/>
      <w:r w:rsidRPr="003335F8">
        <w:rPr>
          <w:rFonts w:ascii="Arial" w:eastAsia="Times New Roman" w:hAnsi="Arial" w:cs="Arial"/>
          <w:color w:val="000000"/>
          <w:kern w:val="0"/>
          <w:sz w:val="32"/>
          <w:szCs w:val="32"/>
          <w:lang w:eastAsia="en-AU"/>
          <w14:ligatures w14:val="none"/>
        </w:rPr>
        <w:t>Lanasier</w:t>
      </w:r>
      <w:proofErr w:type="spellEnd"/>
    </w:p>
    <w:p w14:paraId="3BF937E8" w14:textId="20F24591" w:rsidR="00924F35" w:rsidRPr="003335F8" w:rsidRDefault="00924F35" w:rsidP="00924F35">
      <w:pPr>
        <w:spacing w:after="240" w:line="240" w:lineRule="auto"/>
        <w:rPr>
          <w:rFonts w:ascii="Arial" w:eastAsia="Times New Roman" w:hAnsi="Arial" w:cs="Arial"/>
          <w:kern w:val="0"/>
          <w:lang w:eastAsia="en-AU"/>
          <w14:ligatures w14:val="none"/>
        </w:rPr>
      </w:pPr>
      <w:r w:rsidRPr="003335F8">
        <w:rPr>
          <w:rFonts w:ascii="Arial" w:eastAsia="Times New Roman" w:hAnsi="Arial" w:cs="Arial"/>
          <w:kern w:val="0"/>
          <w:lang w:eastAsia="en-AU"/>
          <w14:ligatures w14:val="none"/>
        </w:rPr>
        <w:br/>
      </w:r>
      <w:r w:rsidRPr="003335F8">
        <w:rPr>
          <w:rFonts w:ascii="Arial" w:eastAsia="Times New Roman" w:hAnsi="Arial" w:cs="Arial"/>
          <w:kern w:val="0"/>
          <w:lang w:eastAsia="en-AU"/>
          <w14:ligatures w14:val="none"/>
        </w:rPr>
        <w:br/>
      </w:r>
      <w:r w:rsidRPr="003335F8">
        <w:rPr>
          <w:rFonts w:ascii="Arial" w:eastAsia="Times New Roman" w:hAnsi="Arial" w:cs="Arial"/>
          <w:kern w:val="0"/>
          <w:lang w:eastAsia="en-AU"/>
          <w14:ligatures w14:val="none"/>
        </w:rPr>
        <w:br/>
      </w:r>
      <w:r w:rsidRPr="003335F8">
        <w:rPr>
          <w:rFonts w:ascii="Arial" w:eastAsia="Times New Roman" w:hAnsi="Arial" w:cs="Arial"/>
          <w:kern w:val="0"/>
          <w:lang w:eastAsia="en-AU"/>
          <w14:ligatures w14:val="none"/>
        </w:rPr>
        <w:br/>
      </w:r>
      <w:r w:rsidRPr="003335F8">
        <w:rPr>
          <w:rFonts w:ascii="Arial" w:eastAsia="Times New Roman" w:hAnsi="Arial" w:cs="Arial"/>
          <w:kern w:val="0"/>
          <w:lang w:eastAsia="en-AU"/>
          <w14:ligatures w14:val="none"/>
        </w:rPr>
        <w:br/>
      </w:r>
      <w:r w:rsidRPr="003335F8">
        <w:rPr>
          <w:rFonts w:ascii="Arial" w:eastAsia="Times New Roman" w:hAnsi="Arial" w:cs="Arial"/>
          <w:kern w:val="0"/>
          <w:lang w:eastAsia="en-AU"/>
          <w14:ligatures w14:val="none"/>
        </w:rPr>
        <w:br/>
      </w:r>
      <w:r w:rsidRPr="003335F8">
        <w:rPr>
          <w:rFonts w:ascii="Arial" w:eastAsia="Times New Roman" w:hAnsi="Arial" w:cs="Arial"/>
          <w:kern w:val="0"/>
          <w:lang w:eastAsia="en-AU"/>
          <w14:ligatures w14:val="none"/>
        </w:rPr>
        <w:br/>
      </w:r>
      <w:r w:rsidRPr="003335F8">
        <w:rPr>
          <w:rFonts w:ascii="Arial" w:eastAsia="Times New Roman" w:hAnsi="Arial" w:cs="Arial"/>
          <w:kern w:val="0"/>
          <w:lang w:eastAsia="en-AU"/>
          <w14:ligatures w14:val="none"/>
        </w:rPr>
        <w:br/>
      </w:r>
      <w:r w:rsidRPr="003335F8">
        <w:rPr>
          <w:rFonts w:ascii="Arial" w:eastAsia="Times New Roman" w:hAnsi="Arial" w:cs="Arial"/>
          <w:kern w:val="0"/>
          <w:lang w:eastAsia="en-AU"/>
          <w14:ligatures w14:val="none"/>
        </w:rPr>
        <w:br/>
      </w:r>
      <w:r w:rsidRPr="003335F8">
        <w:rPr>
          <w:rFonts w:ascii="Arial" w:eastAsia="Times New Roman" w:hAnsi="Arial" w:cs="Arial"/>
          <w:kern w:val="0"/>
          <w:lang w:eastAsia="en-AU"/>
          <w14:ligatures w14:val="none"/>
        </w:rPr>
        <w:br/>
      </w:r>
      <w:r w:rsidRPr="003335F8">
        <w:rPr>
          <w:rFonts w:ascii="Arial" w:eastAsia="Times New Roman" w:hAnsi="Arial" w:cs="Arial"/>
          <w:kern w:val="0"/>
          <w:lang w:eastAsia="en-AU"/>
          <w14:ligatures w14:val="none"/>
        </w:rPr>
        <w:br/>
      </w:r>
    </w:p>
    <w:p w14:paraId="62E28A6F" w14:textId="77777777" w:rsidR="00924F35" w:rsidRPr="003335F8" w:rsidRDefault="00924F35" w:rsidP="00924F35">
      <w:pPr>
        <w:spacing w:after="0" w:line="480" w:lineRule="auto"/>
        <w:jc w:val="center"/>
        <w:rPr>
          <w:rFonts w:ascii="Arial" w:eastAsia="Times New Roman" w:hAnsi="Arial" w:cs="Arial"/>
          <w:kern w:val="0"/>
          <w:lang w:eastAsia="en-AU"/>
          <w14:ligatures w14:val="none"/>
        </w:rPr>
      </w:pPr>
      <w:r w:rsidRPr="003335F8">
        <w:rPr>
          <w:rFonts w:ascii="Arial" w:eastAsia="Times New Roman" w:hAnsi="Arial" w:cs="Arial"/>
          <w:color w:val="000000"/>
          <w:kern w:val="0"/>
          <w:sz w:val="30"/>
          <w:szCs w:val="30"/>
          <w:lang w:eastAsia="en-AU"/>
          <w14:ligatures w14:val="none"/>
        </w:rPr>
        <w:t>Submitted by: Group 1</w:t>
      </w:r>
    </w:p>
    <w:p w14:paraId="27E5A549" w14:textId="77777777" w:rsidR="00924F35" w:rsidRPr="003335F8" w:rsidRDefault="00924F35" w:rsidP="00924F35">
      <w:pPr>
        <w:spacing w:after="60" w:line="240" w:lineRule="auto"/>
        <w:jc w:val="center"/>
        <w:rPr>
          <w:rFonts w:ascii="Arial" w:eastAsia="Times New Roman" w:hAnsi="Arial" w:cs="Arial"/>
          <w:kern w:val="0"/>
          <w:lang w:eastAsia="en-AU"/>
          <w14:ligatures w14:val="none"/>
        </w:rPr>
      </w:pPr>
      <w:r w:rsidRPr="003335F8">
        <w:rPr>
          <w:rFonts w:ascii="Arial" w:eastAsia="Times New Roman" w:hAnsi="Arial" w:cs="Arial"/>
          <w:color w:val="000000"/>
          <w:kern w:val="0"/>
          <w:sz w:val="30"/>
          <w:szCs w:val="30"/>
          <w:lang w:eastAsia="en-AU"/>
          <w14:ligatures w14:val="none"/>
        </w:rPr>
        <w:t>Joshua Wiliam Emor (s8210677)</w:t>
      </w:r>
    </w:p>
    <w:p w14:paraId="300296A5" w14:textId="77777777" w:rsidR="00924F35" w:rsidRPr="003335F8" w:rsidRDefault="00924F35" w:rsidP="00924F35">
      <w:pPr>
        <w:spacing w:after="60" w:line="240" w:lineRule="auto"/>
        <w:jc w:val="center"/>
        <w:rPr>
          <w:rFonts w:ascii="Arial" w:eastAsia="Times New Roman" w:hAnsi="Arial" w:cs="Arial"/>
          <w:kern w:val="0"/>
          <w:lang w:eastAsia="en-AU"/>
          <w14:ligatures w14:val="none"/>
        </w:rPr>
      </w:pPr>
      <w:r w:rsidRPr="003335F8">
        <w:rPr>
          <w:rFonts w:ascii="Arial" w:eastAsia="Times New Roman" w:hAnsi="Arial" w:cs="Arial"/>
          <w:color w:val="000000"/>
          <w:kern w:val="0"/>
          <w:sz w:val="30"/>
          <w:szCs w:val="30"/>
          <w:lang w:eastAsia="en-AU"/>
          <w14:ligatures w14:val="none"/>
        </w:rPr>
        <w:t xml:space="preserve">Nithya </w:t>
      </w:r>
      <w:proofErr w:type="spellStart"/>
      <w:r w:rsidRPr="003335F8">
        <w:rPr>
          <w:rFonts w:ascii="Arial" w:eastAsia="Times New Roman" w:hAnsi="Arial" w:cs="Arial"/>
          <w:color w:val="000000"/>
          <w:kern w:val="0"/>
          <w:sz w:val="30"/>
          <w:szCs w:val="30"/>
          <w:lang w:eastAsia="en-AU"/>
          <w14:ligatures w14:val="none"/>
        </w:rPr>
        <w:t>Parami</w:t>
      </w:r>
      <w:proofErr w:type="spellEnd"/>
      <w:r w:rsidRPr="003335F8">
        <w:rPr>
          <w:rFonts w:ascii="Arial" w:eastAsia="Times New Roman" w:hAnsi="Arial" w:cs="Arial"/>
          <w:color w:val="000000"/>
          <w:kern w:val="0"/>
          <w:sz w:val="30"/>
          <w:szCs w:val="30"/>
          <w:lang w:eastAsia="en-AU"/>
          <w14:ligatures w14:val="none"/>
        </w:rPr>
        <w:t xml:space="preserve"> </w:t>
      </w:r>
      <w:proofErr w:type="spellStart"/>
      <w:r w:rsidRPr="003335F8">
        <w:rPr>
          <w:rFonts w:ascii="Arial" w:eastAsia="Times New Roman" w:hAnsi="Arial" w:cs="Arial"/>
          <w:color w:val="000000"/>
          <w:kern w:val="0"/>
          <w:sz w:val="30"/>
          <w:szCs w:val="30"/>
          <w:lang w:eastAsia="en-AU"/>
          <w14:ligatures w14:val="none"/>
        </w:rPr>
        <w:t>Agampodi</w:t>
      </w:r>
      <w:proofErr w:type="spellEnd"/>
      <w:r w:rsidRPr="003335F8">
        <w:rPr>
          <w:rFonts w:ascii="Arial" w:eastAsia="Times New Roman" w:hAnsi="Arial" w:cs="Arial"/>
          <w:color w:val="000000"/>
          <w:kern w:val="0"/>
          <w:sz w:val="30"/>
          <w:szCs w:val="30"/>
          <w:lang w:eastAsia="en-AU"/>
          <w14:ligatures w14:val="none"/>
        </w:rPr>
        <w:t xml:space="preserve"> Mendis Gunasekara (s8157161)</w:t>
      </w:r>
    </w:p>
    <w:p w14:paraId="6E5A0976" w14:textId="77777777" w:rsidR="00924F35" w:rsidRPr="003335F8" w:rsidRDefault="00924F35" w:rsidP="00924F35">
      <w:pPr>
        <w:spacing w:after="0" w:line="480" w:lineRule="auto"/>
        <w:jc w:val="center"/>
        <w:rPr>
          <w:rFonts w:ascii="Arial" w:eastAsia="Times New Roman" w:hAnsi="Arial" w:cs="Arial"/>
          <w:color w:val="000000"/>
          <w:kern w:val="0"/>
          <w:sz w:val="30"/>
          <w:szCs w:val="30"/>
          <w:lang w:eastAsia="en-AU"/>
          <w14:ligatures w14:val="none"/>
        </w:rPr>
      </w:pPr>
      <w:r w:rsidRPr="003335F8">
        <w:rPr>
          <w:rFonts w:ascii="Arial" w:eastAsia="Times New Roman" w:hAnsi="Arial" w:cs="Arial"/>
          <w:color w:val="000000"/>
          <w:kern w:val="0"/>
          <w:sz w:val="30"/>
          <w:szCs w:val="30"/>
          <w:lang w:eastAsia="en-AU"/>
          <w14:ligatures w14:val="none"/>
        </w:rPr>
        <w:t xml:space="preserve">Iyo </w:t>
      </w:r>
      <w:proofErr w:type="spellStart"/>
      <w:r w:rsidRPr="003335F8">
        <w:rPr>
          <w:rFonts w:ascii="Arial" w:eastAsia="Times New Roman" w:hAnsi="Arial" w:cs="Arial"/>
          <w:color w:val="000000"/>
          <w:kern w:val="0"/>
          <w:sz w:val="30"/>
          <w:szCs w:val="30"/>
          <w:lang w:eastAsia="en-AU"/>
          <w14:ligatures w14:val="none"/>
        </w:rPr>
        <w:t>Hanakawa</w:t>
      </w:r>
      <w:proofErr w:type="spellEnd"/>
      <w:r w:rsidRPr="003335F8">
        <w:rPr>
          <w:rFonts w:ascii="Arial" w:eastAsia="Times New Roman" w:hAnsi="Arial" w:cs="Arial"/>
          <w:color w:val="000000"/>
          <w:kern w:val="0"/>
          <w:sz w:val="30"/>
          <w:szCs w:val="30"/>
          <w:lang w:eastAsia="en-AU"/>
          <w14:ligatures w14:val="none"/>
        </w:rPr>
        <w:t xml:space="preserve"> (s8153925)</w:t>
      </w:r>
    </w:p>
    <w:p w14:paraId="49E0C387" w14:textId="77777777" w:rsidR="00924F35" w:rsidRPr="003335F8" w:rsidRDefault="00924F35" w:rsidP="00924F35">
      <w:pPr>
        <w:spacing w:after="0" w:line="480" w:lineRule="auto"/>
        <w:jc w:val="center"/>
        <w:rPr>
          <w:rFonts w:ascii="Arial" w:eastAsia="Times New Roman" w:hAnsi="Arial" w:cs="Arial"/>
          <w:color w:val="000000"/>
          <w:kern w:val="0"/>
          <w:sz w:val="30"/>
          <w:szCs w:val="30"/>
          <w:lang w:eastAsia="en-AU"/>
          <w14:ligatures w14:val="none"/>
        </w:rPr>
      </w:pPr>
    </w:p>
    <w:p w14:paraId="4F10BDF6" w14:textId="77777777" w:rsidR="00924F35" w:rsidRPr="003335F8" w:rsidRDefault="00924F35" w:rsidP="00924F35">
      <w:pPr>
        <w:spacing w:after="0" w:line="480" w:lineRule="auto"/>
        <w:jc w:val="center"/>
        <w:rPr>
          <w:rFonts w:ascii="Arial" w:eastAsia="Times New Roman" w:hAnsi="Arial" w:cs="Arial"/>
          <w:kern w:val="0"/>
          <w:lang w:eastAsia="en-AU"/>
          <w14:ligatures w14:val="none"/>
        </w:rPr>
      </w:pPr>
    </w:p>
    <w:p w14:paraId="6040C2B5" w14:textId="00E62787" w:rsidR="00872CA9" w:rsidRPr="003335F8" w:rsidRDefault="00872CA9" w:rsidP="003B738A">
      <w:pPr>
        <w:rPr>
          <w:rFonts w:ascii="Arial" w:hAnsi="Arial" w:cs="Arial"/>
          <w:b/>
          <w:bCs/>
        </w:rPr>
      </w:pPr>
      <w:r w:rsidRPr="003335F8">
        <w:rPr>
          <w:rFonts w:ascii="Arial" w:hAnsi="Arial" w:cs="Arial"/>
          <w:b/>
          <w:bCs/>
        </w:rPr>
        <w:t>Executive summary</w:t>
      </w:r>
      <w:r w:rsidRPr="003335F8">
        <w:rPr>
          <w:rFonts w:ascii="Arial" w:hAnsi="Arial" w:cs="Arial"/>
          <w:b/>
          <w:bCs/>
        </w:rPr>
        <w:br/>
      </w:r>
    </w:p>
    <w:p w14:paraId="5C25B244" w14:textId="759C8C91" w:rsidR="00872CA9" w:rsidRPr="003335F8" w:rsidRDefault="00872CA9" w:rsidP="00872CA9">
      <w:pPr>
        <w:rPr>
          <w:rFonts w:ascii="Arial" w:hAnsi="Arial" w:cs="Arial"/>
        </w:rPr>
      </w:pPr>
      <w:r w:rsidRPr="003335F8">
        <w:rPr>
          <w:rFonts w:ascii="Arial" w:hAnsi="Arial" w:cs="Arial"/>
        </w:rPr>
        <w:t xml:space="preserve">     This study assesses Australia's achievement of its national plastic recycling targets under the Recycling and Waste Reduction Act 2020 and National Plastics Plan, identifies challenges to achieving these targets and takes a closer look at the mandatory Extended Producer Responsibility (EPR) system of circular-economy-leading jurisdictions, including the European Union. Thematic analysis was used across three research </w:t>
      </w:r>
      <w:r w:rsidR="007C1601" w:rsidRPr="003335F8">
        <w:rPr>
          <w:rFonts w:ascii="Arial" w:hAnsi="Arial" w:cs="Arial"/>
        </w:rPr>
        <w:t>questions,</w:t>
      </w:r>
      <w:r w:rsidRPr="003335F8">
        <w:rPr>
          <w:rFonts w:ascii="Arial" w:hAnsi="Arial" w:cs="Arial"/>
        </w:rPr>
        <w:t xml:space="preserve"> and a qualitative secondary analysis was undertaken of government reports, parliamentary inquiries, industry data and international policy documents. The absence of downstream demand for recycled material is a bigger challenge than the lack of processing capacity – at only about 50 per cent of potential and the nation's plastic recycling rate is only around 13 per cent, well short of the 70 per cent target by 2025. This divide is held in place by four reinforcing barriers: disjointed and poorly-enforced regulation in nine jurisdictions, a market structure where recycled plastics are not competitive with virgin plastics on cost, a collection system that outpaces capacity to process, and consumers' willingness to recycle, which is hindered by system complexity, not by apathy. When </w:t>
      </w:r>
      <w:proofErr w:type="spellStart"/>
      <w:r w:rsidRPr="003335F8">
        <w:rPr>
          <w:rFonts w:ascii="Arial" w:hAnsi="Arial" w:cs="Arial"/>
        </w:rPr>
        <w:t>REDcycle</w:t>
      </w:r>
      <w:proofErr w:type="spellEnd"/>
      <w:r w:rsidRPr="003335F8">
        <w:rPr>
          <w:rFonts w:ascii="Arial" w:hAnsi="Arial" w:cs="Arial"/>
        </w:rPr>
        <w:t xml:space="preserve"> failed in 2022, all 4 barriers were exposed at once.</w:t>
      </w:r>
    </w:p>
    <w:p w14:paraId="783EE695" w14:textId="2FEE9F34" w:rsidR="007935A9" w:rsidRPr="003335F8" w:rsidRDefault="00112278" w:rsidP="00872CA9">
      <w:pPr>
        <w:rPr>
          <w:rFonts w:ascii="Arial" w:hAnsi="Arial" w:cs="Arial"/>
        </w:rPr>
      </w:pPr>
      <w:r>
        <w:rPr>
          <w:rFonts w:ascii="Arial" w:hAnsi="Arial" w:cs="Arial"/>
        </w:rPr>
        <w:t xml:space="preserve">     </w:t>
      </w:r>
      <w:r w:rsidR="00872CA9" w:rsidRPr="003335F8">
        <w:rPr>
          <w:rFonts w:ascii="Arial" w:hAnsi="Arial" w:cs="Arial"/>
        </w:rPr>
        <w:t>Jurisdictions with better recycling performance in the rest of the world have three structural characteristics which are not included in Australia's framework: mandatory producer financial responsibility for end-of-life packaging costs; binding recycled content targets that create downstream demand; and design-for-recyclability standards that are imposed at the point of production. Close to 10 per cent of end-of-life packaging costs are currently borne by Australian producers, while the balance is borne by local councils and taxpayers, which is an asymmetry that reduces financial incentive for investment in recyclability at the supply-side. The study finds that Australia's recycling deficit is a governance design challenge not a technical or consumer problem, and that the design of an EPR scheme should be based on the EU EPR design principles but be flexible to suit Australia's federal structure and should include design and minimum recycled content requirements.</w:t>
      </w:r>
    </w:p>
    <w:p w14:paraId="25FFA66D" w14:textId="77777777" w:rsidR="007935A9" w:rsidRPr="003335F8" w:rsidRDefault="007935A9" w:rsidP="00872CA9">
      <w:pPr>
        <w:rPr>
          <w:rFonts w:ascii="Arial" w:hAnsi="Arial" w:cs="Arial"/>
        </w:rPr>
      </w:pPr>
    </w:p>
    <w:p w14:paraId="35D6B06C" w14:textId="77777777" w:rsidR="007935A9" w:rsidRPr="003335F8" w:rsidRDefault="007935A9" w:rsidP="00872CA9">
      <w:pPr>
        <w:rPr>
          <w:rFonts w:ascii="Arial" w:hAnsi="Arial" w:cs="Arial"/>
        </w:rPr>
      </w:pPr>
    </w:p>
    <w:p w14:paraId="58838A4F" w14:textId="59DD3C46" w:rsidR="007935A9" w:rsidRPr="003335F8" w:rsidRDefault="00115FBD" w:rsidP="00872CA9">
      <w:pPr>
        <w:rPr>
          <w:rFonts w:ascii="Arial" w:hAnsi="Arial" w:cs="Arial"/>
        </w:rPr>
      </w:pPr>
      <w:r>
        <w:rPr>
          <w:rFonts w:ascii="Arial" w:hAnsi="Arial" w:cs="Arial"/>
        </w:rPr>
        <w:br/>
      </w:r>
      <w:r w:rsidR="00FD5CD0">
        <w:rPr>
          <w:rFonts w:ascii="Arial" w:hAnsi="Arial" w:cs="Arial"/>
        </w:rPr>
        <w:br/>
      </w:r>
      <w:r>
        <w:rPr>
          <w:rFonts w:ascii="Arial" w:hAnsi="Arial" w:cs="Arial"/>
        </w:rPr>
        <w:br/>
      </w:r>
    </w:p>
    <w:p w14:paraId="2ED5F025" w14:textId="77777777" w:rsidR="007935A9" w:rsidRPr="003335F8" w:rsidRDefault="007935A9" w:rsidP="00872CA9">
      <w:pPr>
        <w:rPr>
          <w:rFonts w:ascii="Arial" w:hAnsi="Arial" w:cs="Arial"/>
        </w:rPr>
      </w:pPr>
    </w:p>
    <w:p w14:paraId="6FA0CE5B" w14:textId="77777777" w:rsidR="007935A9" w:rsidRPr="003335F8" w:rsidRDefault="007935A9" w:rsidP="00872CA9">
      <w:pPr>
        <w:rPr>
          <w:rFonts w:ascii="Arial" w:hAnsi="Arial" w:cs="Arial"/>
        </w:rPr>
      </w:pPr>
    </w:p>
    <w:sdt>
      <w:sdtPr>
        <w:rPr>
          <w:rFonts w:ascii="Arial" w:eastAsiaTheme="minorHAnsi" w:hAnsi="Arial" w:cs="Arial"/>
          <w:kern w:val="2"/>
          <w:lang w:eastAsia="en-US"/>
          <w14:ligatures w14:val="standardContextual"/>
        </w:rPr>
        <w:id w:val="-1412315433"/>
        <w:docPartObj>
          <w:docPartGallery w:val="Table of Contents"/>
          <w:docPartUnique/>
        </w:docPartObj>
      </w:sdtPr>
      <w:sdtEndPr>
        <w:rPr>
          <w:b/>
          <w:bCs/>
          <w:noProof/>
        </w:rPr>
      </w:sdtEndPr>
      <w:sdtContent>
        <w:p w14:paraId="66364CED" w14:textId="77777777" w:rsidR="00804469" w:rsidRPr="003335F8" w:rsidRDefault="00804469" w:rsidP="00804469">
          <w:pPr>
            <w:pStyle w:val="NormalWeb"/>
            <w:spacing w:before="60" w:beforeAutospacing="0" w:after="0" w:afterAutospacing="0"/>
            <w:rPr>
              <w:rFonts w:ascii="Arial" w:hAnsi="Arial" w:cs="Arial"/>
              <w:sz w:val="20"/>
              <w:szCs w:val="20"/>
            </w:rPr>
          </w:pPr>
          <w:hyperlink r:id="rId9" w:anchor="heading=h.aula4xwpqga9" w:history="1">
            <w:r w:rsidRPr="003335F8">
              <w:rPr>
                <w:rStyle w:val="Hyperlink"/>
                <w:rFonts w:ascii="Arial" w:hAnsi="Arial" w:cs="Arial"/>
                <w:color w:val="1155CC"/>
                <w:sz w:val="20"/>
                <w:szCs w:val="20"/>
              </w:rPr>
              <w:t>Executive summary</w:t>
            </w:r>
          </w:hyperlink>
        </w:p>
        <w:p w14:paraId="4C32088C" w14:textId="77777777" w:rsidR="00804469" w:rsidRPr="003335F8" w:rsidRDefault="00804469" w:rsidP="00804469">
          <w:pPr>
            <w:pStyle w:val="NormalWeb"/>
            <w:spacing w:before="60" w:beforeAutospacing="0" w:after="0" w:afterAutospacing="0"/>
            <w:rPr>
              <w:rFonts w:ascii="Arial" w:hAnsi="Arial" w:cs="Arial"/>
              <w:sz w:val="20"/>
              <w:szCs w:val="20"/>
            </w:rPr>
          </w:pPr>
          <w:hyperlink r:id="rId10" w:anchor="heading=h.ir9ls4mry94n" w:history="1">
            <w:r w:rsidRPr="003335F8">
              <w:rPr>
                <w:rStyle w:val="Hyperlink"/>
                <w:rFonts w:ascii="Arial" w:hAnsi="Arial" w:cs="Arial"/>
                <w:color w:val="1155CC"/>
                <w:sz w:val="20"/>
                <w:szCs w:val="20"/>
              </w:rPr>
              <w:t>Table of contents</w:t>
            </w:r>
          </w:hyperlink>
        </w:p>
        <w:p w14:paraId="367EC4A4" w14:textId="77777777" w:rsidR="00804469" w:rsidRPr="003335F8" w:rsidRDefault="00804469" w:rsidP="00804469">
          <w:pPr>
            <w:pStyle w:val="NormalWeb"/>
            <w:spacing w:before="60" w:beforeAutospacing="0" w:after="0" w:afterAutospacing="0"/>
            <w:rPr>
              <w:rFonts w:ascii="Arial" w:hAnsi="Arial" w:cs="Arial"/>
              <w:sz w:val="20"/>
              <w:szCs w:val="20"/>
            </w:rPr>
          </w:pPr>
          <w:hyperlink r:id="rId11" w:anchor="heading=h.e4lo21ecmaij" w:history="1">
            <w:r w:rsidRPr="003335F8">
              <w:rPr>
                <w:rStyle w:val="Hyperlink"/>
                <w:rFonts w:ascii="Arial" w:hAnsi="Arial" w:cs="Arial"/>
                <w:color w:val="1155CC"/>
                <w:sz w:val="20"/>
                <w:szCs w:val="20"/>
              </w:rPr>
              <w:t>1.</w:t>
            </w:r>
            <w:r w:rsidRPr="003335F8">
              <w:rPr>
                <w:rStyle w:val="Hyperlink"/>
                <w:rFonts w:ascii="Arial" w:eastAsia="MS Gothic" w:hAnsi="Arial" w:cs="Arial"/>
                <w:color w:val="1155CC"/>
                <w:sz w:val="20"/>
                <w:szCs w:val="20"/>
              </w:rPr>
              <w:t xml:space="preserve">　</w:t>
            </w:r>
            <w:r w:rsidRPr="003335F8">
              <w:rPr>
                <w:rStyle w:val="Hyperlink"/>
                <w:rFonts w:ascii="Arial" w:hAnsi="Arial" w:cs="Arial"/>
                <w:color w:val="1155CC"/>
                <w:sz w:val="20"/>
                <w:szCs w:val="20"/>
              </w:rPr>
              <w:t>Introduction</w:t>
            </w:r>
          </w:hyperlink>
        </w:p>
        <w:p w14:paraId="384AA2FE" w14:textId="77777777" w:rsidR="00804469" w:rsidRPr="003335F8" w:rsidRDefault="00804469" w:rsidP="00804469">
          <w:pPr>
            <w:pStyle w:val="NormalWeb"/>
            <w:spacing w:before="60" w:beforeAutospacing="0" w:after="0" w:afterAutospacing="0"/>
            <w:rPr>
              <w:rFonts w:ascii="Arial" w:hAnsi="Arial" w:cs="Arial"/>
              <w:sz w:val="20"/>
              <w:szCs w:val="20"/>
            </w:rPr>
          </w:pPr>
          <w:hyperlink r:id="rId12" w:anchor="heading=h.am2q87k9cx4f" w:history="1">
            <w:r w:rsidRPr="003335F8">
              <w:rPr>
                <w:rStyle w:val="Hyperlink"/>
                <w:rFonts w:ascii="Arial" w:hAnsi="Arial" w:cs="Arial"/>
                <w:color w:val="1155CC"/>
                <w:sz w:val="20"/>
                <w:szCs w:val="20"/>
              </w:rPr>
              <w:t>2.</w:t>
            </w:r>
            <w:r w:rsidRPr="003335F8">
              <w:rPr>
                <w:rStyle w:val="Hyperlink"/>
                <w:rFonts w:ascii="Arial" w:eastAsia="MS Gothic" w:hAnsi="Arial" w:cs="Arial"/>
                <w:color w:val="1155CC"/>
                <w:sz w:val="20"/>
                <w:szCs w:val="20"/>
              </w:rPr>
              <w:t xml:space="preserve">　</w:t>
            </w:r>
            <w:r w:rsidRPr="003335F8">
              <w:rPr>
                <w:rStyle w:val="Hyperlink"/>
                <w:rFonts w:ascii="Arial" w:hAnsi="Arial" w:cs="Arial"/>
                <w:color w:val="1155CC"/>
                <w:sz w:val="20"/>
                <w:szCs w:val="20"/>
              </w:rPr>
              <w:t>The Research Questions and Objectives</w:t>
            </w:r>
          </w:hyperlink>
        </w:p>
        <w:p w14:paraId="225BB4D4" w14:textId="77777777" w:rsidR="00804469" w:rsidRPr="003335F8" w:rsidRDefault="00804469" w:rsidP="00804469">
          <w:pPr>
            <w:pStyle w:val="NormalWeb"/>
            <w:spacing w:before="60" w:beforeAutospacing="0" w:after="0" w:afterAutospacing="0"/>
            <w:ind w:left="360"/>
            <w:rPr>
              <w:rFonts w:ascii="Arial" w:hAnsi="Arial" w:cs="Arial"/>
              <w:sz w:val="20"/>
              <w:szCs w:val="20"/>
            </w:rPr>
          </w:pPr>
          <w:hyperlink r:id="rId13" w:anchor="heading=h.omfb6i10l4a6" w:history="1">
            <w:r w:rsidRPr="003335F8">
              <w:rPr>
                <w:rStyle w:val="Hyperlink"/>
                <w:rFonts w:ascii="Arial" w:hAnsi="Arial" w:cs="Arial"/>
                <w:color w:val="1155CC"/>
                <w:sz w:val="20"/>
                <w:szCs w:val="20"/>
              </w:rPr>
              <w:t>2.1 Research Questions</w:t>
            </w:r>
          </w:hyperlink>
        </w:p>
        <w:p w14:paraId="3334F897" w14:textId="77777777" w:rsidR="00804469" w:rsidRPr="003335F8" w:rsidRDefault="00804469" w:rsidP="00804469">
          <w:pPr>
            <w:pStyle w:val="NormalWeb"/>
            <w:spacing w:before="60" w:beforeAutospacing="0" w:after="0" w:afterAutospacing="0"/>
            <w:ind w:left="360"/>
            <w:rPr>
              <w:rFonts w:ascii="Arial" w:hAnsi="Arial" w:cs="Arial"/>
              <w:sz w:val="20"/>
              <w:szCs w:val="20"/>
            </w:rPr>
          </w:pPr>
          <w:hyperlink r:id="rId14" w:anchor="heading=h.qfwi5262zwd9" w:history="1">
            <w:r w:rsidRPr="003335F8">
              <w:rPr>
                <w:rStyle w:val="Hyperlink"/>
                <w:rFonts w:ascii="Arial" w:hAnsi="Arial" w:cs="Arial"/>
                <w:color w:val="1155CC"/>
                <w:sz w:val="20"/>
                <w:szCs w:val="20"/>
              </w:rPr>
              <w:t>2.2 Research Objectives</w:t>
            </w:r>
          </w:hyperlink>
        </w:p>
        <w:p w14:paraId="12318EF4" w14:textId="77777777" w:rsidR="00804469" w:rsidRPr="003335F8" w:rsidRDefault="00804469" w:rsidP="00804469">
          <w:pPr>
            <w:pStyle w:val="NormalWeb"/>
            <w:spacing w:before="60" w:beforeAutospacing="0" w:after="0" w:afterAutospacing="0"/>
            <w:rPr>
              <w:rFonts w:ascii="Arial" w:hAnsi="Arial" w:cs="Arial"/>
              <w:sz w:val="20"/>
              <w:szCs w:val="20"/>
            </w:rPr>
          </w:pPr>
          <w:hyperlink r:id="rId15" w:anchor="heading=h.rzvw7ta0njb7" w:history="1">
            <w:r w:rsidRPr="003335F8">
              <w:rPr>
                <w:rStyle w:val="Hyperlink"/>
                <w:rFonts w:ascii="Arial" w:hAnsi="Arial" w:cs="Arial"/>
                <w:color w:val="1155CC"/>
                <w:sz w:val="20"/>
                <w:szCs w:val="20"/>
              </w:rPr>
              <w:t>3. Literature Review</w:t>
            </w:r>
          </w:hyperlink>
        </w:p>
        <w:p w14:paraId="1245CECE" w14:textId="77777777" w:rsidR="00804469" w:rsidRPr="003335F8" w:rsidRDefault="00804469" w:rsidP="00804469">
          <w:pPr>
            <w:pStyle w:val="NormalWeb"/>
            <w:spacing w:before="60" w:beforeAutospacing="0" w:after="0" w:afterAutospacing="0"/>
            <w:ind w:left="360"/>
            <w:rPr>
              <w:rFonts w:ascii="Arial" w:hAnsi="Arial" w:cs="Arial"/>
              <w:sz w:val="20"/>
              <w:szCs w:val="20"/>
            </w:rPr>
          </w:pPr>
          <w:hyperlink r:id="rId16" w:anchor="heading=h.mwacb62t1sdq" w:history="1">
            <w:r w:rsidRPr="003335F8">
              <w:rPr>
                <w:rStyle w:val="Hyperlink"/>
                <w:rFonts w:ascii="Arial" w:hAnsi="Arial" w:cs="Arial"/>
                <w:color w:val="1155CC"/>
                <w:sz w:val="20"/>
                <w:szCs w:val="20"/>
              </w:rPr>
              <w:t>3.1 Assessing Progress on National Plastic</w:t>
            </w:r>
            <w:r w:rsidRPr="003335F8">
              <w:rPr>
                <w:rStyle w:val="Hyperlink"/>
                <w:rFonts w:ascii="Arial" w:hAnsi="Arial" w:cs="Arial"/>
                <w:color w:val="1155CC"/>
                <w:sz w:val="20"/>
                <w:szCs w:val="20"/>
              </w:rPr>
              <w:noBreakHyphen/>
              <w:t>Packaging Recycling Goals</w:t>
            </w:r>
          </w:hyperlink>
        </w:p>
        <w:p w14:paraId="1B1B761A" w14:textId="77777777" w:rsidR="00804469" w:rsidRPr="003335F8" w:rsidRDefault="00804469" w:rsidP="00804469">
          <w:pPr>
            <w:pStyle w:val="NormalWeb"/>
            <w:spacing w:before="60" w:beforeAutospacing="0" w:after="0" w:afterAutospacing="0"/>
            <w:ind w:left="360"/>
            <w:rPr>
              <w:rFonts w:ascii="Arial" w:hAnsi="Arial" w:cs="Arial"/>
              <w:sz w:val="20"/>
              <w:szCs w:val="20"/>
            </w:rPr>
          </w:pPr>
          <w:hyperlink r:id="rId17" w:anchor="heading=h.9p2p5vwt77u" w:history="1">
            <w:r w:rsidRPr="003335F8">
              <w:rPr>
                <w:rStyle w:val="Hyperlink"/>
                <w:rFonts w:ascii="Arial" w:hAnsi="Arial" w:cs="Arial"/>
                <w:color w:val="1155CC"/>
                <w:sz w:val="20"/>
                <w:szCs w:val="20"/>
              </w:rPr>
              <w:t>3.2 Key barriers of plastic recycling</w:t>
            </w:r>
          </w:hyperlink>
        </w:p>
        <w:p w14:paraId="078E7EF1" w14:textId="77777777" w:rsidR="00804469" w:rsidRPr="003335F8" w:rsidRDefault="00804469" w:rsidP="00804469">
          <w:pPr>
            <w:pStyle w:val="NormalWeb"/>
            <w:spacing w:before="60" w:beforeAutospacing="0" w:after="0" w:afterAutospacing="0"/>
            <w:ind w:left="360"/>
            <w:rPr>
              <w:rFonts w:ascii="Arial" w:hAnsi="Arial" w:cs="Arial"/>
              <w:sz w:val="20"/>
              <w:szCs w:val="20"/>
            </w:rPr>
          </w:pPr>
          <w:hyperlink r:id="rId18" w:anchor="heading=h.mtxbg56n5v8v" w:history="1">
            <w:r w:rsidRPr="003335F8">
              <w:rPr>
                <w:rStyle w:val="Hyperlink"/>
                <w:rFonts w:ascii="Arial" w:hAnsi="Arial" w:cs="Arial"/>
                <w:color w:val="1155CC"/>
                <w:sz w:val="20"/>
                <w:szCs w:val="20"/>
              </w:rPr>
              <w:t>3.3 Comparing Plastic Waste Policy Approaches and Recycling Outcomes</w:t>
            </w:r>
          </w:hyperlink>
        </w:p>
        <w:p w14:paraId="00A89F93" w14:textId="77777777" w:rsidR="00804469" w:rsidRPr="003335F8" w:rsidRDefault="00804469" w:rsidP="00804469">
          <w:pPr>
            <w:pStyle w:val="NormalWeb"/>
            <w:spacing w:before="60" w:beforeAutospacing="0" w:after="0" w:afterAutospacing="0"/>
            <w:rPr>
              <w:rFonts w:ascii="Arial" w:hAnsi="Arial" w:cs="Arial"/>
              <w:sz w:val="20"/>
              <w:szCs w:val="20"/>
            </w:rPr>
          </w:pPr>
          <w:hyperlink r:id="rId19" w:anchor="heading=h.k19pun9nrrid" w:history="1">
            <w:r w:rsidRPr="003335F8">
              <w:rPr>
                <w:rStyle w:val="Hyperlink"/>
                <w:rFonts w:ascii="Arial" w:hAnsi="Arial" w:cs="Arial"/>
                <w:color w:val="1155CC"/>
                <w:sz w:val="20"/>
                <w:szCs w:val="20"/>
              </w:rPr>
              <w:t>4. Research Design</w:t>
            </w:r>
          </w:hyperlink>
        </w:p>
        <w:p w14:paraId="5FFE6A78" w14:textId="77777777" w:rsidR="00804469" w:rsidRPr="003335F8" w:rsidRDefault="00804469" w:rsidP="00804469">
          <w:pPr>
            <w:pStyle w:val="NormalWeb"/>
            <w:spacing w:before="60" w:beforeAutospacing="0" w:after="0" w:afterAutospacing="0"/>
            <w:ind w:left="360"/>
            <w:rPr>
              <w:rFonts w:ascii="Arial" w:hAnsi="Arial" w:cs="Arial"/>
              <w:sz w:val="20"/>
              <w:szCs w:val="20"/>
            </w:rPr>
          </w:pPr>
          <w:hyperlink r:id="rId20" w:anchor="heading=h.u2r3pxhwne03" w:history="1">
            <w:r w:rsidRPr="003335F8">
              <w:rPr>
                <w:rStyle w:val="Hyperlink"/>
                <w:rFonts w:ascii="Arial" w:hAnsi="Arial" w:cs="Arial"/>
                <w:color w:val="1155CC"/>
                <w:sz w:val="20"/>
                <w:szCs w:val="20"/>
              </w:rPr>
              <w:t>4.1 Type of Research Undertaken</w:t>
            </w:r>
          </w:hyperlink>
        </w:p>
        <w:p w14:paraId="3E4773E8" w14:textId="77777777" w:rsidR="00804469" w:rsidRPr="003335F8" w:rsidRDefault="00804469" w:rsidP="00804469">
          <w:pPr>
            <w:pStyle w:val="NormalWeb"/>
            <w:spacing w:before="60" w:beforeAutospacing="0" w:after="0" w:afterAutospacing="0"/>
            <w:ind w:left="360"/>
            <w:rPr>
              <w:rFonts w:ascii="Arial" w:hAnsi="Arial" w:cs="Arial"/>
              <w:sz w:val="20"/>
              <w:szCs w:val="20"/>
            </w:rPr>
          </w:pPr>
          <w:hyperlink r:id="rId21" w:anchor="heading=h.d8soltjtkh7" w:history="1">
            <w:r w:rsidRPr="003335F8">
              <w:rPr>
                <w:rStyle w:val="Hyperlink"/>
                <w:rFonts w:ascii="Arial" w:hAnsi="Arial" w:cs="Arial"/>
                <w:color w:val="1155CC"/>
                <w:sz w:val="20"/>
                <w:szCs w:val="20"/>
              </w:rPr>
              <w:t>4.2 Data Collection Strategy</w:t>
            </w:r>
          </w:hyperlink>
        </w:p>
        <w:p w14:paraId="56366951" w14:textId="77777777" w:rsidR="00804469" w:rsidRPr="003335F8" w:rsidRDefault="00804469" w:rsidP="00804469">
          <w:pPr>
            <w:pStyle w:val="NormalWeb"/>
            <w:spacing w:before="60" w:beforeAutospacing="0" w:after="0" w:afterAutospacing="0"/>
            <w:ind w:left="360"/>
            <w:rPr>
              <w:rFonts w:ascii="Arial" w:hAnsi="Arial" w:cs="Arial"/>
              <w:sz w:val="20"/>
              <w:szCs w:val="20"/>
            </w:rPr>
          </w:pPr>
          <w:hyperlink r:id="rId22" w:anchor="heading=h.dhmrnywbk93q" w:history="1">
            <w:r w:rsidRPr="003335F8">
              <w:rPr>
                <w:rStyle w:val="Hyperlink"/>
                <w:rFonts w:ascii="Arial" w:hAnsi="Arial" w:cs="Arial"/>
                <w:color w:val="1155CC"/>
                <w:sz w:val="20"/>
                <w:szCs w:val="20"/>
              </w:rPr>
              <w:t>4.3 Data Analysis Strategy</w:t>
            </w:r>
          </w:hyperlink>
        </w:p>
        <w:p w14:paraId="007320B2" w14:textId="77777777" w:rsidR="00804469" w:rsidRPr="003335F8" w:rsidRDefault="00804469" w:rsidP="00804469">
          <w:pPr>
            <w:pStyle w:val="NormalWeb"/>
            <w:spacing w:before="60" w:beforeAutospacing="0" w:after="0" w:afterAutospacing="0"/>
            <w:rPr>
              <w:rFonts w:ascii="Arial" w:hAnsi="Arial" w:cs="Arial"/>
              <w:sz w:val="20"/>
              <w:szCs w:val="20"/>
            </w:rPr>
          </w:pPr>
          <w:hyperlink r:id="rId23" w:anchor="heading=h.7ch0n44wfws1" w:history="1">
            <w:r w:rsidRPr="003335F8">
              <w:rPr>
                <w:rStyle w:val="Hyperlink"/>
                <w:rFonts w:ascii="Arial" w:hAnsi="Arial" w:cs="Arial"/>
                <w:color w:val="1155CC"/>
                <w:sz w:val="20"/>
                <w:szCs w:val="20"/>
              </w:rPr>
              <w:t>5. Findings and Discussions</w:t>
            </w:r>
          </w:hyperlink>
        </w:p>
        <w:p w14:paraId="5BB9FF17" w14:textId="77777777" w:rsidR="00804469" w:rsidRPr="003335F8" w:rsidRDefault="00804469" w:rsidP="00804469">
          <w:pPr>
            <w:pStyle w:val="NormalWeb"/>
            <w:spacing w:before="60" w:beforeAutospacing="0" w:after="0" w:afterAutospacing="0"/>
            <w:ind w:left="360"/>
            <w:rPr>
              <w:rFonts w:ascii="Arial" w:hAnsi="Arial" w:cs="Arial"/>
              <w:sz w:val="20"/>
              <w:szCs w:val="20"/>
            </w:rPr>
          </w:pPr>
          <w:hyperlink r:id="rId24" w:anchor="heading=h.enfvt6kcux5e" w:history="1">
            <w:r w:rsidRPr="003335F8">
              <w:rPr>
                <w:rStyle w:val="Hyperlink"/>
                <w:rFonts w:ascii="Arial" w:hAnsi="Arial" w:cs="Arial"/>
                <w:color w:val="1155CC"/>
                <w:sz w:val="20"/>
                <w:szCs w:val="20"/>
              </w:rPr>
              <w:t>5.1 RQ1</w:t>
            </w:r>
          </w:hyperlink>
        </w:p>
        <w:p w14:paraId="097BF891" w14:textId="77777777" w:rsidR="00804469" w:rsidRPr="003335F8" w:rsidRDefault="00804469" w:rsidP="00804469">
          <w:pPr>
            <w:pStyle w:val="NormalWeb"/>
            <w:spacing w:before="60" w:beforeAutospacing="0" w:after="0" w:afterAutospacing="0"/>
            <w:ind w:left="720"/>
            <w:rPr>
              <w:rFonts w:ascii="Arial" w:hAnsi="Arial" w:cs="Arial"/>
              <w:sz w:val="20"/>
              <w:szCs w:val="20"/>
            </w:rPr>
          </w:pPr>
          <w:hyperlink r:id="rId25" w:anchor="heading=h.7dmxddo0b7hx" w:history="1">
            <w:r w:rsidRPr="003335F8">
              <w:rPr>
                <w:rStyle w:val="Hyperlink"/>
                <w:rFonts w:ascii="Arial" w:hAnsi="Arial" w:cs="Arial"/>
                <w:color w:val="1155CC"/>
                <w:sz w:val="20"/>
                <w:szCs w:val="20"/>
              </w:rPr>
              <w:t>5.1.1 Overview of Data</w:t>
            </w:r>
          </w:hyperlink>
        </w:p>
        <w:p w14:paraId="73FB7E22" w14:textId="77777777" w:rsidR="00804469" w:rsidRPr="003335F8" w:rsidRDefault="00804469" w:rsidP="00804469">
          <w:pPr>
            <w:pStyle w:val="NormalWeb"/>
            <w:spacing w:before="60" w:beforeAutospacing="0" w:after="0" w:afterAutospacing="0"/>
            <w:ind w:left="720"/>
            <w:rPr>
              <w:rFonts w:ascii="Arial" w:hAnsi="Arial" w:cs="Arial"/>
              <w:sz w:val="20"/>
              <w:szCs w:val="20"/>
            </w:rPr>
          </w:pPr>
          <w:hyperlink r:id="rId26" w:anchor="heading=h.t1597m8s8mft" w:history="1">
            <w:r w:rsidRPr="003335F8">
              <w:rPr>
                <w:rStyle w:val="Hyperlink"/>
                <w:rFonts w:ascii="Arial" w:hAnsi="Arial" w:cs="Arial"/>
                <w:color w:val="1155CC"/>
                <w:sz w:val="20"/>
                <w:szCs w:val="20"/>
              </w:rPr>
              <w:t>5.1.2 Theme 1 - Progress is significantly below what is expected.</w:t>
            </w:r>
          </w:hyperlink>
        </w:p>
        <w:p w14:paraId="1222C5AE" w14:textId="77777777" w:rsidR="00804469" w:rsidRPr="003335F8" w:rsidRDefault="00804469" w:rsidP="00804469">
          <w:pPr>
            <w:pStyle w:val="NormalWeb"/>
            <w:spacing w:before="60" w:beforeAutospacing="0" w:after="0" w:afterAutospacing="0"/>
            <w:ind w:left="720"/>
            <w:rPr>
              <w:rFonts w:ascii="Arial" w:hAnsi="Arial" w:cs="Arial"/>
              <w:sz w:val="20"/>
              <w:szCs w:val="20"/>
            </w:rPr>
          </w:pPr>
          <w:hyperlink r:id="rId27" w:anchor="heading=h.jek6pmy12wdt" w:history="1">
            <w:r w:rsidRPr="003335F8">
              <w:rPr>
                <w:rStyle w:val="Hyperlink"/>
                <w:rFonts w:ascii="Arial" w:hAnsi="Arial" w:cs="Arial"/>
                <w:color w:val="1155CC"/>
                <w:sz w:val="20"/>
                <w:szCs w:val="20"/>
              </w:rPr>
              <w:t>5.1.3 Theme 2 - The capacity is available but not utilized</w:t>
            </w:r>
          </w:hyperlink>
        </w:p>
        <w:p w14:paraId="5B066A44" w14:textId="77777777" w:rsidR="00804469" w:rsidRPr="003335F8" w:rsidRDefault="00804469" w:rsidP="00804469">
          <w:pPr>
            <w:pStyle w:val="NormalWeb"/>
            <w:spacing w:before="60" w:beforeAutospacing="0" w:after="0" w:afterAutospacing="0"/>
            <w:ind w:left="720"/>
            <w:rPr>
              <w:rFonts w:ascii="Arial" w:hAnsi="Arial" w:cs="Arial"/>
              <w:sz w:val="20"/>
              <w:szCs w:val="20"/>
            </w:rPr>
          </w:pPr>
          <w:hyperlink r:id="rId28" w:anchor="heading=h.ouga0b9pc85u" w:history="1">
            <w:r w:rsidRPr="003335F8">
              <w:rPr>
                <w:rStyle w:val="Hyperlink"/>
                <w:rFonts w:ascii="Arial" w:hAnsi="Arial" w:cs="Arial"/>
                <w:color w:val="1155CC"/>
                <w:sz w:val="20"/>
                <w:szCs w:val="20"/>
              </w:rPr>
              <w:t>5.1.4 Theme 3 - Policy is turning mandatory</w:t>
            </w:r>
          </w:hyperlink>
        </w:p>
        <w:p w14:paraId="2027AC8A" w14:textId="77777777" w:rsidR="00804469" w:rsidRPr="003335F8" w:rsidRDefault="00804469" w:rsidP="00804469">
          <w:pPr>
            <w:pStyle w:val="NormalWeb"/>
            <w:spacing w:before="60" w:beforeAutospacing="0" w:after="0" w:afterAutospacing="0"/>
            <w:ind w:left="720"/>
            <w:rPr>
              <w:rFonts w:ascii="Arial" w:hAnsi="Arial" w:cs="Arial"/>
              <w:sz w:val="20"/>
              <w:szCs w:val="20"/>
            </w:rPr>
          </w:pPr>
          <w:hyperlink r:id="rId29" w:anchor="heading=h.flixk4h2chu1" w:history="1">
            <w:r w:rsidRPr="003335F8">
              <w:rPr>
                <w:rStyle w:val="Hyperlink"/>
                <w:rFonts w:ascii="Arial" w:hAnsi="Arial" w:cs="Arial"/>
                <w:color w:val="1155CC"/>
                <w:sz w:val="20"/>
                <w:szCs w:val="20"/>
              </w:rPr>
              <w:t>5.1.5 Discussion – explaining the Progress Gap</w:t>
            </w:r>
          </w:hyperlink>
        </w:p>
        <w:p w14:paraId="2D12EAF3" w14:textId="77777777" w:rsidR="00804469" w:rsidRPr="003335F8" w:rsidRDefault="00804469" w:rsidP="00804469">
          <w:pPr>
            <w:pStyle w:val="NormalWeb"/>
            <w:spacing w:before="60" w:beforeAutospacing="0" w:after="0" w:afterAutospacing="0"/>
            <w:ind w:left="360"/>
            <w:rPr>
              <w:rFonts w:ascii="Arial" w:hAnsi="Arial" w:cs="Arial"/>
              <w:sz w:val="20"/>
              <w:szCs w:val="20"/>
            </w:rPr>
          </w:pPr>
          <w:hyperlink r:id="rId30" w:anchor="heading=h.rc4cypn24pml" w:history="1">
            <w:proofErr w:type="gramStart"/>
            <w:r w:rsidRPr="003335F8">
              <w:rPr>
                <w:rStyle w:val="Hyperlink"/>
                <w:rFonts w:ascii="Arial" w:hAnsi="Arial" w:cs="Arial"/>
                <w:color w:val="1155CC"/>
                <w:sz w:val="20"/>
                <w:szCs w:val="20"/>
              </w:rPr>
              <w:t>5.2  RQ</w:t>
            </w:r>
            <w:proofErr w:type="gramEnd"/>
            <w:r w:rsidRPr="003335F8">
              <w:rPr>
                <w:rStyle w:val="Hyperlink"/>
                <w:rFonts w:ascii="Arial" w:hAnsi="Arial" w:cs="Arial"/>
                <w:color w:val="1155CC"/>
                <w:sz w:val="20"/>
                <w:szCs w:val="20"/>
              </w:rPr>
              <w:t>2</w:t>
            </w:r>
          </w:hyperlink>
        </w:p>
        <w:p w14:paraId="49CC2453" w14:textId="77777777" w:rsidR="00804469" w:rsidRPr="003335F8" w:rsidRDefault="00804469" w:rsidP="00804469">
          <w:pPr>
            <w:pStyle w:val="NormalWeb"/>
            <w:spacing w:before="60" w:beforeAutospacing="0" w:after="0" w:afterAutospacing="0"/>
            <w:ind w:left="720"/>
            <w:rPr>
              <w:rFonts w:ascii="Arial" w:hAnsi="Arial" w:cs="Arial"/>
              <w:sz w:val="20"/>
              <w:szCs w:val="20"/>
            </w:rPr>
          </w:pPr>
          <w:hyperlink r:id="rId31" w:anchor="heading=h.4o717xl4abgx" w:history="1">
            <w:r w:rsidRPr="003335F8">
              <w:rPr>
                <w:rStyle w:val="Hyperlink"/>
                <w:rFonts w:ascii="Arial" w:hAnsi="Arial" w:cs="Arial"/>
                <w:color w:val="1155CC"/>
                <w:sz w:val="20"/>
                <w:szCs w:val="20"/>
              </w:rPr>
              <w:t>5.2.2 Theme 1 - Regulation exists at every level of government, but no level enforces it</w:t>
            </w:r>
          </w:hyperlink>
        </w:p>
        <w:p w14:paraId="379A58E6" w14:textId="77777777" w:rsidR="00804469" w:rsidRPr="003335F8" w:rsidRDefault="00804469" w:rsidP="00804469">
          <w:pPr>
            <w:pStyle w:val="NormalWeb"/>
            <w:spacing w:before="60" w:beforeAutospacing="0" w:after="0" w:afterAutospacing="0"/>
            <w:ind w:left="720"/>
            <w:rPr>
              <w:rFonts w:ascii="Arial" w:hAnsi="Arial" w:cs="Arial"/>
              <w:sz w:val="20"/>
              <w:szCs w:val="20"/>
            </w:rPr>
          </w:pPr>
          <w:hyperlink r:id="rId32" w:anchor="heading=h.w984plhtbyrq" w:history="1">
            <w:r w:rsidRPr="003335F8">
              <w:rPr>
                <w:rStyle w:val="Hyperlink"/>
                <w:rFonts w:ascii="Arial" w:hAnsi="Arial" w:cs="Arial"/>
                <w:color w:val="1155CC"/>
                <w:sz w:val="20"/>
                <w:szCs w:val="20"/>
              </w:rPr>
              <w:t>5.2.3 Theme 2 - Plastic is collected at a cost the recycled product cannot recover</w:t>
            </w:r>
          </w:hyperlink>
        </w:p>
        <w:p w14:paraId="375133BE" w14:textId="77777777" w:rsidR="00804469" w:rsidRPr="003335F8" w:rsidRDefault="00804469" w:rsidP="00804469">
          <w:pPr>
            <w:pStyle w:val="NormalWeb"/>
            <w:spacing w:before="60" w:beforeAutospacing="0" w:after="0" w:afterAutospacing="0"/>
            <w:ind w:left="720"/>
            <w:rPr>
              <w:rFonts w:ascii="Arial" w:hAnsi="Arial" w:cs="Arial"/>
              <w:sz w:val="20"/>
              <w:szCs w:val="20"/>
            </w:rPr>
          </w:pPr>
          <w:hyperlink r:id="rId33" w:anchor="heading=h.zcg04ai9savi" w:history="1">
            <w:r w:rsidRPr="003335F8">
              <w:rPr>
                <w:rStyle w:val="Hyperlink"/>
                <w:rFonts w:ascii="Arial" w:hAnsi="Arial" w:cs="Arial"/>
                <w:color w:val="1155CC"/>
                <w:sz w:val="20"/>
                <w:szCs w:val="20"/>
              </w:rPr>
              <w:t>5.2.4 Theme 3 - Collection capacity grew faster than the capacity to process what it collects</w:t>
            </w:r>
          </w:hyperlink>
        </w:p>
        <w:p w14:paraId="413ABEBD" w14:textId="77777777" w:rsidR="00804469" w:rsidRPr="003335F8" w:rsidRDefault="00804469" w:rsidP="00804469">
          <w:pPr>
            <w:pStyle w:val="NormalWeb"/>
            <w:spacing w:before="60" w:beforeAutospacing="0" w:after="0" w:afterAutospacing="0"/>
            <w:ind w:left="720"/>
            <w:rPr>
              <w:rFonts w:ascii="Arial" w:hAnsi="Arial" w:cs="Arial"/>
              <w:sz w:val="20"/>
              <w:szCs w:val="20"/>
            </w:rPr>
          </w:pPr>
          <w:hyperlink r:id="rId34" w:anchor="heading=h.kz4hymtpuefs" w:history="1">
            <w:r w:rsidRPr="003335F8">
              <w:rPr>
                <w:rStyle w:val="Hyperlink"/>
                <w:rFonts w:ascii="Arial" w:hAnsi="Arial" w:cs="Arial"/>
                <w:color w:val="1155CC"/>
                <w:sz w:val="20"/>
                <w:szCs w:val="20"/>
              </w:rPr>
              <w:t xml:space="preserve">5.2.5 Theme 4 - Consumers are willing to recycle correctly, but </w:t>
            </w:r>
            <w:proofErr w:type="gramStart"/>
            <w:r w:rsidRPr="003335F8">
              <w:rPr>
                <w:rStyle w:val="Hyperlink"/>
                <w:rFonts w:ascii="Arial" w:hAnsi="Arial" w:cs="Arial"/>
                <w:color w:val="1155CC"/>
                <w:sz w:val="20"/>
                <w:szCs w:val="20"/>
              </w:rPr>
              <w:t>are not able to</w:t>
            </w:r>
            <w:proofErr w:type="gramEnd"/>
          </w:hyperlink>
        </w:p>
        <w:p w14:paraId="05B433C7" w14:textId="77777777" w:rsidR="00804469" w:rsidRPr="003335F8" w:rsidRDefault="00804469" w:rsidP="00804469">
          <w:pPr>
            <w:pStyle w:val="NormalWeb"/>
            <w:spacing w:before="60" w:beforeAutospacing="0" w:after="0" w:afterAutospacing="0"/>
            <w:ind w:left="720"/>
            <w:rPr>
              <w:rFonts w:ascii="Arial" w:hAnsi="Arial" w:cs="Arial"/>
              <w:sz w:val="20"/>
              <w:szCs w:val="20"/>
            </w:rPr>
          </w:pPr>
          <w:hyperlink r:id="rId35" w:anchor="heading=h.ylw3x57wcl4u" w:history="1">
            <w:r w:rsidRPr="003335F8">
              <w:rPr>
                <w:rStyle w:val="Hyperlink"/>
                <w:rFonts w:ascii="Arial" w:hAnsi="Arial" w:cs="Arial"/>
                <w:color w:val="1155CC"/>
                <w:sz w:val="20"/>
                <w:szCs w:val="20"/>
              </w:rPr>
              <w:t>5.2.6 Discussion - Barriers to Closing the Recycling Gap</w:t>
            </w:r>
          </w:hyperlink>
        </w:p>
        <w:p w14:paraId="6D3307F9" w14:textId="77777777" w:rsidR="00804469" w:rsidRPr="003335F8" w:rsidRDefault="00804469" w:rsidP="00804469">
          <w:pPr>
            <w:pStyle w:val="NormalWeb"/>
            <w:spacing w:before="60" w:beforeAutospacing="0" w:after="0" w:afterAutospacing="0"/>
            <w:ind w:left="360"/>
            <w:rPr>
              <w:rFonts w:ascii="Arial" w:hAnsi="Arial" w:cs="Arial"/>
              <w:sz w:val="20"/>
              <w:szCs w:val="20"/>
            </w:rPr>
          </w:pPr>
          <w:hyperlink r:id="rId36" w:anchor="heading=h.t5izk79kau77" w:history="1">
            <w:r w:rsidRPr="003335F8">
              <w:rPr>
                <w:rStyle w:val="Hyperlink"/>
                <w:rFonts w:ascii="Arial" w:hAnsi="Arial" w:cs="Arial"/>
                <w:color w:val="1155CC"/>
                <w:sz w:val="20"/>
                <w:szCs w:val="20"/>
              </w:rPr>
              <w:t>5.3 RQ3:</w:t>
            </w:r>
          </w:hyperlink>
        </w:p>
        <w:p w14:paraId="59C5BB84" w14:textId="77777777" w:rsidR="00804469" w:rsidRPr="003335F8" w:rsidRDefault="00804469" w:rsidP="00804469">
          <w:pPr>
            <w:pStyle w:val="NormalWeb"/>
            <w:spacing w:before="60" w:beforeAutospacing="0" w:after="0" w:afterAutospacing="0"/>
            <w:ind w:left="720"/>
            <w:rPr>
              <w:rFonts w:ascii="Arial" w:hAnsi="Arial" w:cs="Arial"/>
              <w:sz w:val="20"/>
              <w:szCs w:val="20"/>
            </w:rPr>
          </w:pPr>
          <w:hyperlink r:id="rId37" w:anchor="heading=h.q1g994pvt3mt" w:history="1">
            <w:r w:rsidRPr="003335F8">
              <w:rPr>
                <w:rStyle w:val="Hyperlink"/>
                <w:rFonts w:ascii="Arial" w:hAnsi="Arial" w:cs="Arial"/>
                <w:color w:val="1155CC"/>
                <w:sz w:val="20"/>
                <w:szCs w:val="20"/>
              </w:rPr>
              <w:t>5.3.1 Overview of Data</w:t>
            </w:r>
          </w:hyperlink>
        </w:p>
        <w:p w14:paraId="11B78BB3" w14:textId="77777777" w:rsidR="00804469" w:rsidRPr="003335F8" w:rsidRDefault="00804469" w:rsidP="00804469">
          <w:pPr>
            <w:pStyle w:val="NormalWeb"/>
            <w:spacing w:before="60" w:beforeAutospacing="0" w:after="0" w:afterAutospacing="0"/>
            <w:ind w:left="720"/>
            <w:rPr>
              <w:rFonts w:ascii="Arial" w:hAnsi="Arial" w:cs="Arial"/>
              <w:sz w:val="20"/>
              <w:szCs w:val="20"/>
            </w:rPr>
          </w:pPr>
          <w:hyperlink r:id="rId38" w:anchor="heading=h.2i4g8d83n34t" w:history="1">
            <w:r w:rsidRPr="003335F8">
              <w:rPr>
                <w:rStyle w:val="Hyperlink"/>
                <w:rFonts w:ascii="Arial" w:hAnsi="Arial" w:cs="Arial"/>
                <w:color w:val="1155CC"/>
                <w:sz w:val="20"/>
                <w:szCs w:val="20"/>
              </w:rPr>
              <w:t>5.3.2 Theme 1 – Voluntary co-regulation is not effective compared to mandatory producer responsibility</w:t>
            </w:r>
          </w:hyperlink>
        </w:p>
        <w:p w14:paraId="49771636" w14:textId="77777777" w:rsidR="00804469" w:rsidRPr="003335F8" w:rsidRDefault="00804469" w:rsidP="00804469">
          <w:pPr>
            <w:pStyle w:val="NormalWeb"/>
            <w:spacing w:before="60" w:beforeAutospacing="0" w:after="0" w:afterAutospacing="0"/>
            <w:ind w:left="720"/>
            <w:rPr>
              <w:rFonts w:ascii="Arial" w:hAnsi="Arial" w:cs="Arial"/>
              <w:sz w:val="20"/>
              <w:szCs w:val="20"/>
            </w:rPr>
          </w:pPr>
          <w:hyperlink r:id="rId39" w:anchor="heading=h.xdcwqpg4fb3" w:history="1">
            <w:r w:rsidRPr="003335F8">
              <w:rPr>
                <w:rStyle w:val="Hyperlink"/>
                <w:rFonts w:ascii="Arial" w:hAnsi="Arial" w:cs="Arial"/>
                <w:color w:val="1155CC"/>
                <w:sz w:val="20"/>
                <w:szCs w:val="20"/>
              </w:rPr>
              <w:t xml:space="preserve">5.3.3 Theme 2 – There is no single EPR </w:t>
            </w:r>
            <w:proofErr w:type="gramStart"/>
            <w:r w:rsidRPr="003335F8">
              <w:rPr>
                <w:rStyle w:val="Hyperlink"/>
                <w:rFonts w:ascii="Arial" w:hAnsi="Arial" w:cs="Arial"/>
                <w:color w:val="1155CC"/>
                <w:sz w:val="20"/>
                <w:szCs w:val="20"/>
              </w:rPr>
              <w:t>model</w:t>
            </w:r>
            <w:proofErr w:type="gramEnd"/>
            <w:r w:rsidRPr="003335F8">
              <w:rPr>
                <w:rStyle w:val="Hyperlink"/>
                <w:rFonts w:ascii="Arial" w:hAnsi="Arial" w:cs="Arial"/>
                <w:color w:val="1155CC"/>
                <w:sz w:val="20"/>
                <w:szCs w:val="20"/>
              </w:rPr>
              <w:t xml:space="preserve"> but design choices are important</w:t>
            </w:r>
          </w:hyperlink>
        </w:p>
        <w:p w14:paraId="789BFAB1" w14:textId="77777777" w:rsidR="00804469" w:rsidRPr="003335F8" w:rsidRDefault="00804469" w:rsidP="00804469">
          <w:pPr>
            <w:pStyle w:val="NormalWeb"/>
            <w:spacing w:before="60" w:beforeAutospacing="0" w:after="0" w:afterAutospacing="0"/>
            <w:ind w:left="720"/>
            <w:rPr>
              <w:rFonts w:ascii="Arial" w:hAnsi="Arial" w:cs="Arial"/>
              <w:sz w:val="20"/>
              <w:szCs w:val="20"/>
            </w:rPr>
          </w:pPr>
          <w:hyperlink r:id="rId40" w:anchor="heading=h.6h7nqnvft48e" w:history="1">
            <w:r w:rsidRPr="003335F8">
              <w:rPr>
                <w:rStyle w:val="Hyperlink"/>
                <w:rFonts w:ascii="Arial" w:hAnsi="Arial" w:cs="Arial"/>
                <w:color w:val="1155CC"/>
                <w:sz w:val="20"/>
                <w:szCs w:val="20"/>
              </w:rPr>
              <w:t>5.3.4 Theme 3 – Quality and end-market demand are as important as collection volumes</w:t>
            </w:r>
          </w:hyperlink>
        </w:p>
        <w:p w14:paraId="12ED59C8" w14:textId="77777777" w:rsidR="00804469" w:rsidRPr="003335F8" w:rsidRDefault="00804469" w:rsidP="00804469">
          <w:pPr>
            <w:pStyle w:val="NormalWeb"/>
            <w:spacing w:before="60" w:beforeAutospacing="0" w:after="0" w:afterAutospacing="0"/>
            <w:ind w:left="720"/>
            <w:rPr>
              <w:rFonts w:ascii="Arial" w:hAnsi="Arial" w:cs="Arial"/>
              <w:sz w:val="20"/>
              <w:szCs w:val="20"/>
            </w:rPr>
          </w:pPr>
          <w:hyperlink r:id="rId41" w:anchor="heading=h.hb8exrgq7ohf" w:history="1">
            <w:r w:rsidRPr="003335F8">
              <w:rPr>
                <w:rStyle w:val="Hyperlink"/>
                <w:rFonts w:ascii="Arial" w:hAnsi="Arial" w:cs="Arial"/>
                <w:color w:val="1155CC"/>
                <w:sz w:val="20"/>
                <w:szCs w:val="20"/>
              </w:rPr>
              <w:t>5.3.5 theme 4 is mandatory EPR that moves the costs from public to producer</w:t>
            </w:r>
          </w:hyperlink>
        </w:p>
        <w:p w14:paraId="3699FC56" w14:textId="77777777" w:rsidR="00804469" w:rsidRPr="003335F8" w:rsidRDefault="00804469" w:rsidP="00804469">
          <w:pPr>
            <w:pStyle w:val="NormalWeb"/>
            <w:spacing w:before="60" w:beforeAutospacing="0" w:after="0" w:afterAutospacing="0"/>
            <w:ind w:left="720"/>
            <w:rPr>
              <w:rFonts w:ascii="Arial" w:hAnsi="Arial" w:cs="Arial"/>
              <w:sz w:val="20"/>
              <w:szCs w:val="20"/>
            </w:rPr>
          </w:pPr>
          <w:hyperlink r:id="rId42" w:anchor="heading=h.lsm7pbdqb0sp" w:history="1">
            <w:r w:rsidRPr="003335F8">
              <w:rPr>
                <w:rStyle w:val="Hyperlink"/>
                <w:rFonts w:ascii="Arial" w:hAnsi="Arial" w:cs="Arial"/>
                <w:color w:val="1155CC"/>
                <w:sz w:val="20"/>
                <w:szCs w:val="20"/>
              </w:rPr>
              <w:t xml:space="preserve">5.3.6 Discussion – A Governance Design Problem, </w:t>
            </w:r>
            <w:proofErr w:type="gramStart"/>
            <w:r w:rsidRPr="003335F8">
              <w:rPr>
                <w:rStyle w:val="Hyperlink"/>
                <w:rFonts w:ascii="Arial" w:hAnsi="Arial" w:cs="Arial"/>
                <w:color w:val="1155CC"/>
                <w:sz w:val="20"/>
                <w:szCs w:val="20"/>
              </w:rPr>
              <w:t>Not</w:t>
            </w:r>
            <w:proofErr w:type="gramEnd"/>
            <w:r w:rsidRPr="003335F8">
              <w:rPr>
                <w:rStyle w:val="Hyperlink"/>
                <w:rFonts w:ascii="Arial" w:hAnsi="Arial" w:cs="Arial"/>
                <w:color w:val="1155CC"/>
                <w:sz w:val="20"/>
                <w:szCs w:val="20"/>
              </w:rPr>
              <w:t xml:space="preserve"> a Technical One</w:t>
            </w:r>
          </w:hyperlink>
        </w:p>
        <w:p w14:paraId="4C724F4D" w14:textId="77777777" w:rsidR="00804469" w:rsidRPr="003335F8" w:rsidRDefault="00804469" w:rsidP="00804469">
          <w:pPr>
            <w:pStyle w:val="NormalWeb"/>
            <w:spacing w:before="60" w:beforeAutospacing="0" w:after="0" w:afterAutospacing="0"/>
            <w:rPr>
              <w:rFonts w:ascii="Arial" w:hAnsi="Arial" w:cs="Arial"/>
              <w:sz w:val="20"/>
              <w:szCs w:val="20"/>
            </w:rPr>
          </w:pPr>
          <w:hyperlink r:id="rId43" w:anchor="heading=h.86q7gix9wurx" w:history="1">
            <w:r w:rsidRPr="003335F8">
              <w:rPr>
                <w:rStyle w:val="Hyperlink"/>
                <w:rFonts w:ascii="Arial" w:hAnsi="Arial" w:cs="Arial"/>
                <w:color w:val="1155CC"/>
                <w:sz w:val="20"/>
                <w:szCs w:val="20"/>
              </w:rPr>
              <w:t>6. Recommendations</w:t>
            </w:r>
          </w:hyperlink>
        </w:p>
        <w:p w14:paraId="58591191" w14:textId="77777777" w:rsidR="00804469" w:rsidRPr="003335F8" w:rsidRDefault="00804469" w:rsidP="00804469">
          <w:pPr>
            <w:pStyle w:val="NormalWeb"/>
            <w:spacing w:before="60" w:beforeAutospacing="0" w:after="0" w:afterAutospacing="0"/>
            <w:ind w:left="360"/>
            <w:rPr>
              <w:rFonts w:ascii="Arial" w:hAnsi="Arial" w:cs="Arial"/>
              <w:sz w:val="20"/>
              <w:szCs w:val="20"/>
            </w:rPr>
          </w:pPr>
          <w:hyperlink r:id="rId44" w:anchor="heading=h.1pewxddx5i97" w:history="1">
            <w:r w:rsidRPr="003335F8">
              <w:rPr>
                <w:rStyle w:val="Hyperlink"/>
                <w:rFonts w:ascii="Arial" w:hAnsi="Arial" w:cs="Arial"/>
                <w:color w:val="1155CC"/>
                <w:sz w:val="20"/>
                <w:szCs w:val="20"/>
              </w:rPr>
              <w:t>6.1 Recommendation RQ1 - Legislating EPR to Close the Progress Gap</w:t>
            </w:r>
          </w:hyperlink>
        </w:p>
        <w:p w14:paraId="6C03C449" w14:textId="77777777" w:rsidR="00804469" w:rsidRPr="003335F8" w:rsidRDefault="00804469" w:rsidP="00804469">
          <w:pPr>
            <w:rPr>
              <w:rFonts w:ascii="Arial" w:hAnsi="Arial" w:cs="Arial"/>
              <w:sz w:val="20"/>
              <w:szCs w:val="20"/>
            </w:rPr>
          </w:pPr>
        </w:p>
        <w:p w14:paraId="678E11D6" w14:textId="77777777" w:rsidR="00804469" w:rsidRPr="003335F8" w:rsidRDefault="00804469" w:rsidP="00804469">
          <w:pPr>
            <w:pStyle w:val="NormalWeb"/>
            <w:spacing w:before="60" w:beforeAutospacing="0" w:after="0" w:afterAutospacing="0"/>
            <w:ind w:left="360"/>
            <w:rPr>
              <w:rFonts w:ascii="Arial" w:hAnsi="Arial" w:cs="Arial"/>
              <w:sz w:val="20"/>
              <w:szCs w:val="20"/>
            </w:rPr>
          </w:pPr>
          <w:hyperlink r:id="rId45" w:anchor="heading=h.owcr3yhm0m0l" w:history="1">
            <w:r w:rsidRPr="003335F8">
              <w:rPr>
                <w:rStyle w:val="Hyperlink"/>
                <w:rFonts w:ascii="Arial" w:hAnsi="Arial" w:cs="Arial"/>
                <w:color w:val="1155CC"/>
                <w:sz w:val="20"/>
                <w:szCs w:val="20"/>
              </w:rPr>
              <w:t>6.2 Recommendation RQ2 - Make the packaging framework mandatory and nationally consistent</w:t>
            </w:r>
          </w:hyperlink>
        </w:p>
        <w:p w14:paraId="504F3F8B" w14:textId="77777777" w:rsidR="00804469" w:rsidRPr="003335F8" w:rsidRDefault="00804469" w:rsidP="00804469">
          <w:pPr>
            <w:pStyle w:val="NormalWeb"/>
            <w:spacing w:before="60" w:beforeAutospacing="0" w:after="0" w:afterAutospacing="0"/>
            <w:ind w:left="360"/>
            <w:rPr>
              <w:rFonts w:ascii="Arial" w:hAnsi="Arial" w:cs="Arial"/>
              <w:sz w:val="20"/>
              <w:szCs w:val="20"/>
            </w:rPr>
          </w:pPr>
          <w:hyperlink r:id="rId46" w:anchor="heading=h.klaq1sq8oylu" w:history="1">
            <w:r w:rsidRPr="003335F8">
              <w:rPr>
                <w:rStyle w:val="Hyperlink"/>
                <w:rFonts w:ascii="Arial" w:hAnsi="Arial" w:cs="Arial"/>
                <w:color w:val="1155CC"/>
                <w:sz w:val="20"/>
                <w:szCs w:val="20"/>
              </w:rPr>
              <w:t>6.3 Recommendation RQ3 - Adopt a hybrid EPR model drawn from EU design features</w:t>
            </w:r>
          </w:hyperlink>
        </w:p>
        <w:p w14:paraId="0B459A8E" w14:textId="77777777" w:rsidR="00804469" w:rsidRPr="003335F8" w:rsidRDefault="00804469" w:rsidP="00804469">
          <w:pPr>
            <w:pStyle w:val="NormalWeb"/>
            <w:spacing w:before="60" w:beforeAutospacing="0" w:after="0" w:afterAutospacing="0"/>
            <w:rPr>
              <w:rFonts w:ascii="Arial" w:hAnsi="Arial" w:cs="Arial"/>
              <w:sz w:val="20"/>
              <w:szCs w:val="20"/>
            </w:rPr>
          </w:pPr>
          <w:hyperlink r:id="rId47" w:anchor="heading=h.1yibdwjncym1" w:history="1">
            <w:r w:rsidRPr="003335F8">
              <w:rPr>
                <w:rStyle w:val="Hyperlink"/>
                <w:rFonts w:ascii="Arial" w:hAnsi="Arial" w:cs="Arial"/>
                <w:color w:val="1155CC"/>
                <w:sz w:val="20"/>
                <w:szCs w:val="20"/>
              </w:rPr>
              <w:t>7. Conclusions</w:t>
            </w:r>
          </w:hyperlink>
        </w:p>
        <w:p w14:paraId="17212F28" w14:textId="4F6D7447" w:rsidR="00804469" w:rsidRPr="003335F8" w:rsidRDefault="00804469" w:rsidP="00804469">
          <w:pPr>
            <w:pStyle w:val="NormalWeb"/>
            <w:spacing w:before="60" w:beforeAutospacing="0" w:after="0" w:afterAutospacing="0"/>
            <w:rPr>
              <w:rFonts w:ascii="Arial" w:hAnsi="Arial" w:cs="Arial"/>
              <w:sz w:val="20"/>
              <w:szCs w:val="20"/>
            </w:rPr>
          </w:pPr>
          <w:hyperlink r:id="rId48" w:anchor="heading=h.1yibdwjncym1" w:history="1">
            <w:r w:rsidRPr="003335F8">
              <w:rPr>
                <w:rStyle w:val="Hyperlink"/>
                <w:rFonts w:ascii="Arial" w:hAnsi="Arial" w:cs="Arial"/>
                <w:color w:val="1155CC"/>
                <w:sz w:val="20"/>
                <w:szCs w:val="20"/>
              </w:rPr>
              <w:t>8. References</w:t>
            </w:r>
          </w:hyperlink>
        </w:p>
        <w:p w14:paraId="24BF07F3" w14:textId="77777777" w:rsidR="00804469" w:rsidRPr="003335F8" w:rsidRDefault="00804469" w:rsidP="00804469">
          <w:pPr>
            <w:pStyle w:val="NormalWeb"/>
            <w:spacing w:before="60" w:beforeAutospacing="0" w:after="0" w:afterAutospacing="0"/>
            <w:rPr>
              <w:rFonts w:ascii="Arial" w:hAnsi="Arial" w:cs="Arial"/>
              <w:sz w:val="20"/>
              <w:szCs w:val="20"/>
            </w:rPr>
          </w:pPr>
          <w:hyperlink r:id="rId49" w:anchor="heading=h.z89a7zdgd96e" w:history="1">
            <w:r w:rsidRPr="003335F8">
              <w:rPr>
                <w:rStyle w:val="Hyperlink"/>
                <w:rFonts w:ascii="Arial" w:hAnsi="Arial" w:cs="Arial"/>
                <w:color w:val="1155CC"/>
                <w:sz w:val="20"/>
                <w:szCs w:val="20"/>
              </w:rPr>
              <w:t>Appendix</w:t>
            </w:r>
          </w:hyperlink>
        </w:p>
        <w:p w14:paraId="4FA0CB38" w14:textId="77777777" w:rsidR="00804469" w:rsidRPr="003335F8" w:rsidRDefault="00804469" w:rsidP="00804469">
          <w:pPr>
            <w:pStyle w:val="NormalWeb"/>
            <w:spacing w:before="60" w:beforeAutospacing="0" w:after="0" w:afterAutospacing="0"/>
            <w:ind w:left="360"/>
            <w:rPr>
              <w:rFonts w:ascii="Arial" w:hAnsi="Arial" w:cs="Arial"/>
              <w:sz w:val="20"/>
              <w:szCs w:val="20"/>
            </w:rPr>
          </w:pPr>
          <w:hyperlink r:id="rId50" w:anchor="heading=h.ch3de55zgoy6" w:history="1">
            <w:r w:rsidRPr="003335F8">
              <w:rPr>
                <w:rStyle w:val="Hyperlink"/>
                <w:rFonts w:ascii="Arial" w:hAnsi="Arial" w:cs="Arial"/>
                <w:color w:val="1155CC"/>
                <w:sz w:val="20"/>
                <w:szCs w:val="20"/>
              </w:rPr>
              <w:t>Appendix A Thematic Analysis Summary (Template 9.1)</w:t>
            </w:r>
          </w:hyperlink>
        </w:p>
        <w:p w14:paraId="4210BD18" w14:textId="66A10A4B" w:rsidR="000B5DB6" w:rsidRPr="003335F8" w:rsidRDefault="000B5DB6" w:rsidP="000B5DB6">
          <w:pPr>
            <w:pStyle w:val="TOCHeading"/>
            <w:rPr>
              <w:rFonts w:ascii="Arial" w:hAnsi="Arial" w:cs="Arial"/>
            </w:rPr>
          </w:pPr>
        </w:p>
        <w:p w14:paraId="0CF40A9F" w14:textId="1F0A6A62" w:rsidR="00A26DE1" w:rsidRPr="003335F8" w:rsidRDefault="00EC24B5">
          <w:pPr>
            <w:rPr>
              <w:rFonts w:ascii="Arial" w:hAnsi="Arial" w:cs="Arial"/>
            </w:rPr>
          </w:pPr>
        </w:p>
      </w:sdtContent>
    </w:sdt>
    <w:p w14:paraId="1896725D" w14:textId="2DAA1013" w:rsidR="00A26DE1" w:rsidRPr="003335F8" w:rsidRDefault="00A26DE1" w:rsidP="00A26DE1">
      <w:pPr>
        <w:rPr>
          <w:rFonts w:ascii="Arial" w:hAnsi="Arial" w:cs="Arial"/>
          <w:b/>
          <w:bCs/>
          <w:sz w:val="28"/>
          <w:szCs w:val="28"/>
        </w:rPr>
      </w:pPr>
      <w:r w:rsidRPr="003335F8">
        <w:rPr>
          <w:rFonts w:ascii="Arial" w:hAnsi="Arial" w:cs="Arial"/>
          <w:b/>
          <w:bCs/>
          <w:sz w:val="28"/>
          <w:szCs w:val="28"/>
        </w:rPr>
        <w:lastRenderedPageBreak/>
        <w:t>1.</w:t>
      </w:r>
      <w:r w:rsidRPr="003335F8">
        <w:rPr>
          <w:rFonts w:ascii="Arial" w:eastAsia="MS Gothic" w:hAnsi="Arial" w:cs="Arial"/>
          <w:b/>
          <w:bCs/>
          <w:sz w:val="28"/>
          <w:szCs w:val="28"/>
        </w:rPr>
        <w:t xml:space="preserve">　</w:t>
      </w:r>
      <w:r w:rsidRPr="003335F8">
        <w:rPr>
          <w:rFonts w:ascii="Arial" w:hAnsi="Arial" w:cs="Arial"/>
          <w:b/>
          <w:bCs/>
          <w:sz w:val="28"/>
          <w:szCs w:val="28"/>
        </w:rPr>
        <w:t>Introduction</w:t>
      </w:r>
      <w:r w:rsidR="00804469" w:rsidRPr="003335F8">
        <w:rPr>
          <w:rFonts w:ascii="Arial" w:hAnsi="Arial" w:cs="Arial"/>
          <w:b/>
          <w:bCs/>
          <w:sz w:val="28"/>
          <w:szCs w:val="28"/>
        </w:rPr>
        <w:br/>
      </w:r>
    </w:p>
    <w:p w14:paraId="5EAE1966" w14:textId="1EB1E010"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Plastic has become one of the most common types of materials used for packaging over the past hundred years. Problems associated with its use have risen to an all-time high on governments' agenda (Hossain et al., 2022). The situation is serious in Australia. Between 2019 and 2000, plastics usage increased by 166%. During this same </w:t>
      </w:r>
      <w:proofErr w:type="gramStart"/>
      <w:r w:rsidR="00A26DE1" w:rsidRPr="003335F8">
        <w:rPr>
          <w:rFonts w:ascii="Arial" w:hAnsi="Arial" w:cs="Arial"/>
        </w:rPr>
        <w:t>time period</w:t>
      </w:r>
      <w:proofErr w:type="gramEnd"/>
      <w:r w:rsidR="00A26DE1" w:rsidRPr="003335F8">
        <w:rPr>
          <w:rFonts w:ascii="Arial" w:hAnsi="Arial" w:cs="Arial"/>
        </w:rPr>
        <w:t xml:space="preserve">, recycling rates have stayed between 18% and 11% which places Australia lower than many other developed countries within the OECD (Ng et al., 2021). Unrecyclable plastics outcome landfills and </w:t>
      </w:r>
      <w:proofErr w:type="gramStart"/>
      <w:r w:rsidR="00A26DE1" w:rsidRPr="003335F8">
        <w:rPr>
          <w:rFonts w:ascii="Arial" w:hAnsi="Arial" w:cs="Arial"/>
        </w:rPr>
        <w:t>enter into</w:t>
      </w:r>
      <w:proofErr w:type="gramEnd"/>
      <w:r w:rsidR="00A26DE1" w:rsidRPr="003335F8">
        <w:rPr>
          <w:rFonts w:ascii="Arial" w:hAnsi="Arial" w:cs="Arial"/>
        </w:rPr>
        <w:t xml:space="preserve"> our oceans. Exporting waste shifts the burden of managing the environmental impact to developing countries without sufficient resources or infrastructure to properly manage such issues (Hossain et al., 2022). As a result, the Australian Government established legislation, called the Recycling and Waste Reduction Act 2020, the National Plastics Plan; and phased export ban, as well as establishing a goal of having 70% of plastic packaging be recyclable by 2025. It seems unlikely that the goal will be met. The failure of </w:t>
      </w:r>
      <w:proofErr w:type="spellStart"/>
      <w:r w:rsidR="00A26DE1" w:rsidRPr="003335F8">
        <w:rPr>
          <w:rFonts w:ascii="Arial" w:hAnsi="Arial" w:cs="Arial"/>
        </w:rPr>
        <w:t>REDcycle</w:t>
      </w:r>
      <w:proofErr w:type="spellEnd"/>
      <w:r w:rsidR="00A26DE1" w:rsidRPr="003335F8">
        <w:rPr>
          <w:rFonts w:ascii="Arial" w:hAnsi="Arial" w:cs="Arial"/>
        </w:rPr>
        <w:t xml:space="preserve"> in 2022, Australia’s largest soft-plastic collection program; revealed inadequacies in both the physical infrastructure and fragmented governance structure that exists under it (Shittu et al., 2024).</w:t>
      </w:r>
    </w:p>
    <w:p w14:paraId="5811400F" w14:textId="77777777" w:rsidR="00A26DE1" w:rsidRPr="003335F8" w:rsidRDefault="00A26DE1" w:rsidP="00A26DE1">
      <w:pPr>
        <w:rPr>
          <w:rFonts w:ascii="Arial" w:hAnsi="Arial" w:cs="Arial"/>
        </w:rPr>
      </w:pPr>
      <w:r w:rsidRPr="003335F8">
        <w:rPr>
          <w:rFonts w:ascii="Arial" w:hAnsi="Arial" w:cs="Arial"/>
        </w:rPr>
        <w:t xml:space="preserve">Research regarding barriers to recycling in Australia has been quite comprehensive. </w:t>
      </w:r>
      <w:proofErr w:type="gramStart"/>
      <w:r w:rsidRPr="003335F8">
        <w:rPr>
          <w:rFonts w:ascii="Arial" w:hAnsi="Arial" w:cs="Arial"/>
        </w:rPr>
        <w:t>However</w:t>
      </w:r>
      <w:proofErr w:type="gramEnd"/>
      <w:r w:rsidRPr="003335F8">
        <w:rPr>
          <w:rFonts w:ascii="Arial" w:hAnsi="Arial" w:cs="Arial"/>
        </w:rPr>
        <w:t xml:space="preserve"> most of this research is based upon the study of individual programs or systems within single states - </w:t>
      </w:r>
      <w:proofErr w:type="spellStart"/>
      <w:r w:rsidRPr="003335F8">
        <w:rPr>
          <w:rFonts w:ascii="Arial" w:hAnsi="Arial" w:cs="Arial"/>
        </w:rPr>
        <w:t>REDcycle</w:t>
      </w:r>
      <w:proofErr w:type="spellEnd"/>
      <w:r w:rsidRPr="003335F8">
        <w:rPr>
          <w:rFonts w:ascii="Arial" w:hAnsi="Arial" w:cs="Arial"/>
        </w:rPr>
        <w:t xml:space="preserve"> (Shittu et al., 2024), Western Australian (Cáceres Ruiz &amp; Zaman, 2022) or national packaging regulations (Johnson et al., 2025), however very little comparative research exists, which compares Australia’s total regulatory environment with those of other countries so that potential transferable mechanisms can be identified (</w:t>
      </w:r>
      <w:proofErr w:type="spellStart"/>
      <w:r w:rsidRPr="003335F8">
        <w:rPr>
          <w:rFonts w:ascii="Arial" w:hAnsi="Arial" w:cs="Arial"/>
        </w:rPr>
        <w:t>Andreasi</w:t>
      </w:r>
      <w:proofErr w:type="spellEnd"/>
      <w:r w:rsidRPr="003335F8">
        <w:rPr>
          <w:rFonts w:ascii="Arial" w:hAnsi="Arial" w:cs="Arial"/>
        </w:rPr>
        <w:t xml:space="preserve"> Bassi et al., 2020; Johnson et al., 2025).</w:t>
      </w:r>
    </w:p>
    <w:p w14:paraId="28D36FC5" w14:textId="004A2354"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This study evaluates </w:t>
      </w:r>
      <w:proofErr w:type="gramStart"/>
      <w:r w:rsidR="00A26DE1" w:rsidRPr="003335F8">
        <w:rPr>
          <w:rFonts w:ascii="Arial" w:hAnsi="Arial" w:cs="Arial"/>
        </w:rPr>
        <w:t>whether or not</w:t>
      </w:r>
      <w:proofErr w:type="gramEnd"/>
      <w:r w:rsidR="00A26DE1" w:rsidRPr="003335F8">
        <w:rPr>
          <w:rFonts w:ascii="Arial" w:hAnsi="Arial" w:cs="Arial"/>
        </w:rPr>
        <w:t xml:space="preserve"> Australia is progressing towards meeting its recycling goals, diagnoses how these barriers interact to prevent further advancement and compares the current structure of recycling within Australia to that found internationally. In terms of academic contribution, this research will test an integrated cross category barrier model developed in Europe on Australian data. In addition, as a practical application, it provides stakeholders with evidence-based recommendations for closing the existing recycling gap.</w:t>
      </w:r>
    </w:p>
    <w:p w14:paraId="527396C2" w14:textId="77777777" w:rsidR="00A26DE1" w:rsidRPr="003335F8" w:rsidRDefault="00A26DE1" w:rsidP="00A26DE1">
      <w:pPr>
        <w:rPr>
          <w:rFonts w:ascii="Arial" w:hAnsi="Arial" w:cs="Arial"/>
        </w:rPr>
      </w:pPr>
    </w:p>
    <w:p w14:paraId="376B612D" w14:textId="060841E9" w:rsidR="00A26DE1" w:rsidRPr="003335F8" w:rsidRDefault="00A26DE1" w:rsidP="00A26DE1">
      <w:pPr>
        <w:rPr>
          <w:rFonts w:ascii="Arial" w:hAnsi="Arial" w:cs="Arial"/>
        </w:rPr>
      </w:pPr>
      <w:r w:rsidRPr="003335F8">
        <w:rPr>
          <w:rFonts w:ascii="Arial" w:hAnsi="Arial" w:cs="Arial"/>
        </w:rPr>
        <w:br/>
      </w:r>
      <w:r w:rsidRPr="003335F8">
        <w:rPr>
          <w:rFonts w:ascii="Arial" w:hAnsi="Arial" w:cs="Arial"/>
        </w:rPr>
        <w:br/>
      </w:r>
      <w:r w:rsidRPr="003335F8">
        <w:rPr>
          <w:rFonts w:ascii="Arial" w:hAnsi="Arial" w:cs="Arial"/>
        </w:rPr>
        <w:br/>
      </w:r>
    </w:p>
    <w:p w14:paraId="2D7BC6E0" w14:textId="77777777" w:rsidR="00A26DE1" w:rsidRPr="003335F8" w:rsidRDefault="00A26DE1" w:rsidP="00A26DE1">
      <w:pPr>
        <w:rPr>
          <w:rFonts w:ascii="Arial" w:hAnsi="Arial" w:cs="Arial"/>
        </w:rPr>
      </w:pPr>
    </w:p>
    <w:p w14:paraId="00895CD1" w14:textId="5924459E" w:rsidR="00A26DE1" w:rsidRPr="003335F8" w:rsidRDefault="00A26DE1" w:rsidP="00A26DE1">
      <w:pPr>
        <w:rPr>
          <w:rFonts w:ascii="Arial" w:hAnsi="Arial" w:cs="Arial"/>
          <w:b/>
          <w:bCs/>
          <w:sz w:val="28"/>
          <w:szCs w:val="28"/>
        </w:rPr>
      </w:pPr>
      <w:r w:rsidRPr="003335F8">
        <w:rPr>
          <w:rFonts w:ascii="Arial" w:hAnsi="Arial" w:cs="Arial"/>
          <w:b/>
          <w:bCs/>
          <w:sz w:val="28"/>
          <w:szCs w:val="28"/>
        </w:rPr>
        <w:lastRenderedPageBreak/>
        <w:t>2.</w:t>
      </w:r>
      <w:r w:rsidRPr="003335F8">
        <w:rPr>
          <w:rFonts w:ascii="Arial" w:eastAsia="MS Gothic" w:hAnsi="Arial" w:cs="Arial"/>
          <w:b/>
          <w:bCs/>
          <w:sz w:val="28"/>
          <w:szCs w:val="28"/>
        </w:rPr>
        <w:t xml:space="preserve">　</w:t>
      </w:r>
      <w:r w:rsidRPr="003335F8">
        <w:rPr>
          <w:rFonts w:ascii="Arial" w:hAnsi="Arial" w:cs="Arial"/>
          <w:b/>
          <w:bCs/>
          <w:sz w:val="28"/>
          <w:szCs w:val="28"/>
        </w:rPr>
        <w:t>The Research Questions and Objectives</w:t>
      </w:r>
      <w:r w:rsidR="000B5DB6" w:rsidRPr="003335F8">
        <w:rPr>
          <w:rFonts w:ascii="Arial" w:hAnsi="Arial" w:cs="Arial"/>
          <w:b/>
          <w:bCs/>
          <w:sz w:val="28"/>
          <w:szCs w:val="28"/>
        </w:rPr>
        <w:br/>
      </w:r>
    </w:p>
    <w:p w14:paraId="30BA5E72" w14:textId="77777777" w:rsidR="00A26DE1" w:rsidRPr="003335F8" w:rsidRDefault="00A26DE1" w:rsidP="00A26DE1">
      <w:pPr>
        <w:rPr>
          <w:rFonts w:ascii="Arial" w:hAnsi="Arial" w:cs="Arial"/>
          <w:b/>
          <w:bCs/>
        </w:rPr>
      </w:pPr>
      <w:r w:rsidRPr="003335F8">
        <w:rPr>
          <w:rFonts w:ascii="Arial" w:hAnsi="Arial" w:cs="Arial"/>
          <w:b/>
          <w:bCs/>
        </w:rPr>
        <w:t>2.1 Research Questions</w:t>
      </w:r>
    </w:p>
    <w:p w14:paraId="613306E8" w14:textId="0A683FF1" w:rsidR="00A26DE1" w:rsidRPr="003335F8" w:rsidRDefault="00A26DE1" w:rsidP="00A26DE1">
      <w:pPr>
        <w:rPr>
          <w:rFonts w:ascii="Arial" w:hAnsi="Arial" w:cs="Arial"/>
        </w:rPr>
      </w:pPr>
      <w:r w:rsidRPr="003335F8">
        <w:rPr>
          <w:rFonts w:ascii="Arial" w:hAnsi="Arial" w:cs="Arial"/>
        </w:rPr>
        <w:t>RQ1: What progress has Australia made toward its national plastic recycling targets under the Recycling and Waste Reduction Act 2020 and National Plastics Plan?</w:t>
      </w:r>
    </w:p>
    <w:p w14:paraId="7D9CE37F" w14:textId="77777777" w:rsidR="00A26DE1" w:rsidRPr="003335F8" w:rsidRDefault="00A26DE1" w:rsidP="00A26DE1">
      <w:pPr>
        <w:rPr>
          <w:rFonts w:ascii="Arial" w:hAnsi="Arial" w:cs="Arial"/>
        </w:rPr>
      </w:pPr>
    </w:p>
    <w:p w14:paraId="0495C241" w14:textId="6C5B75F3" w:rsidR="00A26DE1" w:rsidRPr="003335F8" w:rsidRDefault="00A26DE1" w:rsidP="00A26DE1">
      <w:pPr>
        <w:rPr>
          <w:rFonts w:ascii="Arial" w:hAnsi="Arial" w:cs="Arial"/>
        </w:rPr>
      </w:pPr>
      <w:r w:rsidRPr="003335F8">
        <w:rPr>
          <w:rFonts w:ascii="Arial" w:hAnsi="Arial" w:cs="Arial"/>
        </w:rPr>
        <w:t>RQ2: What are the key barriers preventing Australia from closing the gap between its plastic recycling targets and actual recycling outcomes?</w:t>
      </w:r>
    </w:p>
    <w:p w14:paraId="0049EF37" w14:textId="77777777" w:rsidR="00A26DE1" w:rsidRPr="003335F8" w:rsidRDefault="00A26DE1" w:rsidP="00A26DE1">
      <w:pPr>
        <w:rPr>
          <w:rFonts w:ascii="Arial" w:hAnsi="Arial" w:cs="Arial"/>
        </w:rPr>
      </w:pPr>
    </w:p>
    <w:p w14:paraId="2F6ABBEA" w14:textId="77777777" w:rsidR="00A26DE1" w:rsidRPr="003335F8" w:rsidRDefault="00A26DE1" w:rsidP="00A26DE1">
      <w:pPr>
        <w:rPr>
          <w:rFonts w:ascii="Arial" w:hAnsi="Arial" w:cs="Arial"/>
        </w:rPr>
      </w:pPr>
      <w:r w:rsidRPr="003335F8">
        <w:rPr>
          <w:rFonts w:ascii="Arial" w:hAnsi="Arial" w:cs="Arial"/>
        </w:rPr>
        <w:t>RQ3: How does Australia's plastic waste policy approach compare with policy models in other circular-economy-leading jurisdictions in achieving recycling outcomes?</w:t>
      </w:r>
    </w:p>
    <w:p w14:paraId="24A31497" w14:textId="77777777" w:rsidR="00A26DE1" w:rsidRPr="003335F8" w:rsidRDefault="00A26DE1" w:rsidP="00A26DE1">
      <w:pPr>
        <w:rPr>
          <w:rFonts w:ascii="Arial" w:hAnsi="Arial" w:cs="Arial"/>
          <w:b/>
          <w:bCs/>
        </w:rPr>
      </w:pPr>
    </w:p>
    <w:p w14:paraId="1F59A9F1" w14:textId="25CF6778" w:rsidR="00A26DE1" w:rsidRPr="003335F8" w:rsidRDefault="00A26DE1" w:rsidP="00A26DE1">
      <w:pPr>
        <w:rPr>
          <w:rFonts w:ascii="Arial" w:hAnsi="Arial" w:cs="Arial"/>
        </w:rPr>
      </w:pPr>
      <w:r w:rsidRPr="003335F8">
        <w:rPr>
          <w:rFonts w:ascii="Arial" w:hAnsi="Arial" w:cs="Arial"/>
          <w:b/>
          <w:bCs/>
        </w:rPr>
        <w:t>2.2 Research Objectives</w:t>
      </w:r>
      <w:r w:rsidRPr="003335F8">
        <w:rPr>
          <w:rFonts w:ascii="Arial" w:hAnsi="Arial" w:cs="Arial"/>
        </w:rPr>
        <w:br/>
      </w:r>
    </w:p>
    <w:p w14:paraId="4DD94829" w14:textId="77777777" w:rsidR="00A26DE1" w:rsidRPr="003335F8" w:rsidRDefault="00A26DE1" w:rsidP="00A26DE1">
      <w:pPr>
        <w:rPr>
          <w:rFonts w:ascii="Arial" w:hAnsi="Arial" w:cs="Arial"/>
        </w:rPr>
      </w:pPr>
      <w:r w:rsidRPr="003335F8">
        <w:rPr>
          <w:rFonts w:ascii="Arial" w:hAnsi="Arial" w:cs="Arial"/>
        </w:rPr>
        <w:t>Objective 1: To assess how Australia is doing towards achieving its national plastic recycling goals, such as recycling rates, landfill rates, reprocessing capacity utilization, and the transition from voluntary to mandatory policy measures, to determine the scale and nature of the difference between the goals and the results.</w:t>
      </w:r>
    </w:p>
    <w:p w14:paraId="23B21CEC" w14:textId="77777777" w:rsidR="00A26DE1" w:rsidRPr="003335F8" w:rsidRDefault="00A26DE1" w:rsidP="00A26DE1">
      <w:pPr>
        <w:rPr>
          <w:rFonts w:ascii="Arial" w:hAnsi="Arial" w:cs="Arial"/>
        </w:rPr>
      </w:pPr>
      <w:r w:rsidRPr="003335F8">
        <w:rPr>
          <w:rFonts w:ascii="Arial" w:hAnsi="Arial" w:cs="Arial"/>
        </w:rPr>
        <w:t>Objective 2: To review the factors which are creating a barrier for Australia in achieving plastic recycling goals and how they combine to sustain the gap between targets and outcomes.</w:t>
      </w:r>
    </w:p>
    <w:p w14:paraId="030C3CEA" w14:textId="77777777" w:rsidR="00A26DE1" w:rsidRPr="003335F8" w:rsidRDefault="00A26DE1" w:rsidP="00A26DE1">
      <w:pPr>
        <w:rPr>
          <w:rFonts w:ascii="Arial" w:hAnsi="Arial" w:cs="Arial"/>
        </w:rPr>
      </w:pPr>
      <w:r w:rsidRPr="003335F8">
        <w:rPr>
          <w:rFonts w:ascii="Arial" w:hAnsi="Arial" w:cs="Arial"/>
        </w:rPr>
        <w:t>Objective 3: To compare the features of the Australian plastic waste policy framework with the mandated EPR systems in circular-economy-leading jurisdictions, including EPR design features, recycled content requirements, and material quality requirements, to understand the governance changes needed to enhance Australia's plastic waste recycling futures.</w:t>
      </w:r>
    </w:p>
    <w:p w14:paraId="078992CF" w14:textId="3125874B" w:rsidR="00A26DE1" w:rsidRPr="003335F8" w:rsidRDefault="000B5DB6" w:rsidP="00A26DE1">
      <w:pPr>
        <w:rPr>
          <w:rFonts w:ascii="Arial" w:hAnsi="Arial" w:cs="Arial"/>
        </w:rPr>
      </w:pPr>
      <w:r w:rsidRPr="003335F8">
        <w:rPr>
          <w:rFonts w:ascii="Arial" w:hAnsi="Arial" w:cs="Arial"/>
        </w:rPr>
        <w:br/>
      </w:r>
      <w:r w:rsidRPr="003335F8">
        <w:rPr>
          <w:rFonts w:ascii="Arial" w:hAnsi="Arial" w:cs="Arial"/>
        </w:rPr>
        <w:br/>
      </w:r>
      <w:r w:rsidRPr="003335F8">
        <w:rPr>
          <w:rFonts w:ascii="Arial" w:hAnsi="Arial" w:cs="Arial"/>
        </w:rPr>
        <w:br/>
      </w:r>
      <w:r w:rsidRPr="003335F8">
        <w:rPr>
          <w:rFonts w:ascii="Arial" w:hAnsi="Arial" w:cs="Arial"/>
        </w:rPr>
        <w:br/>
      </w:r>
      <w:r w:rsidRPr="003335F8">
        <w:rPr>
          <w:rFonts w:ascii="Arial" w:hAnsi="Arial" w:cs="Arial"/>
        </w:rPr>
        <w:br/>
      </w:r>
      <w:r w:rsidR="007E64D6">
        <w:rPr>
          <w:rFonts w:ascii="Arial" w:hAnsi="Arial" w:cs="Arial"/>
        </w:rPr>
        <w:br/>
      </w:r>
    </w:p>
    <w:p w14:paraId="43D1D2B6" w14:textId="77777777" w:rsidR="00A26DE1" w:rsidRPr="003335F8" w:rsidRDefault="00A26DE1" w:rsidP="00A26DE1">
      <w:pPr>
        <w:rPr>
          <w:rFonts w:ascii="Arial" w:hAnsi="Arial" w:cs="Arial"/>
        </w:rPr>
      </w:pPr>
    </w:p>
    <w:p w14:paraId="638D73D6" w14:textId="2BC9CF90" w:rsidR="00A26DE1" w:rsidRPr="003335F8" w:rsidRDefault="00A26DE1" w:rsidP="00A26DE1">
      <w:pPr>
        <w:rPr>
          <w:rFonts w:ascii="Arial" w:hAnsi="Arial" w:cs="Arial"/>
          <w:b/>
          <w:bCs/>
          <w:sz w:val="28"/>
          <w:szCs w:val="28"/>
        </w:rPr>
      </w:pPr>
      <w:r w:rsidRPr="003335F8">
        <w:rPr>
          <w:rFonts w:ascii="Arial" w:hAnsi="Arial" w:cs="Arial"/>
          <w:b/>
          <w:bCs/>
          <w:sz w:val="28"/>
          <w:szCs w:val="28"/>
        </w:rPr>
        <w:lastRenderedPageBreak/>
        <w:t xml:space="preserve">3. Literature Review </w:t>
      </w:r>
      <w:r w:rsidR="000B5DB6" w:rsidRPr="003335F8">
        <w:rPr>
          <w:rFonts w:ascii="Arial" w:hAnsi="Arial" w:cs="Arial"/>
          <w:b/>
          <w:bCs/>
          <w:sz w:val="28"/>
          <w:szCs w:val="28"/>
        </w:rPr>
        <w:br/>
      </w:r>
    </w:p>
    <w:p w14:paraId="44A1C098" w14:textId="77777777" w:rsidR="00A26DE1" w:rsidRPr="003335F8" w:rsidRDefault="00A26DE1" w:rsidP="00A26DE1">
      <w:pPr>
        <w:rPr>
          <w:rFonts w:ascii="Arial" w:hAnsi="Arial" w:cs="Arial"/>
          <w:b/>
          <w:bCs/>
        </w:rPr>
      </w:pPr>
      <w:r w:rsidRPr="003335F8">
        <w:rPr>
          <w:rFonts w:ascii="Arial" w:hAnsi="Arial" w:cs="Arial"/>
          <w:b/>
          <w:bCs/>
        </w:rPr>
        <w:t>3.1 Assessing Progress on National Plastic</w:t>
      </w:r>
      <w:r w:rsidRPr="003335F8">
        <w:rPr>
          <w:rFonts w:ascii="Cambria Math" w:hAnsi="Cambria Math" w:cs="Cambria Math"/>
          <w:b/>
          <w:bCs/>
        </w:rPr>
        <w:t>‑</w:t>
      </w:r>
      <w:r w:rsidRPr="003335F8">
        <w:rPr>
          <w:rFonts w:ascii="Arial" w:hAnsi="Arial" w:cs="Arial"/>
          <w:b/>
          <w:bCs/>
        </w:rPr>
        <w:t>Packaging Recycling Goals</w:t>
      </w:r>
    </w:p>
    <w:p w14:paraId="0C66579F" w14:textId="3E86C4C1" w:rsidR="00A26DE1" w:rsidRPr="003335F8" w:rsidRDefault="009F62CF" w:rsidP="00A26DE1">
      <w:pPr>
        <w:rPr>
          <w:rFonts w:ascii="Arial" w:hAnsi="Arial" w:cs="Arial"/>
        </w:rPr>
      </w:pPr>
      <w:r>
        <w:rPr>
          <w:rFonts w:ascii="Arial" w:hAnsi="Arial" w:cs="Arial"/>
        </w:rPr>
        <w:t xml:space="preserve">     </w:t>
      </w:r>
      <w:r w:rsidR="00A26DE1" w:rsidRPr="003335F8">
        <w:rPr>
          <w:rFonts w:ascii="Arial" w:hAnsi="Arial" w:cs="Arial"/>
        </w:rPr>
        <w:t xml:space="preserve">Progress toward the national plastic recycling targets under the Recycling and Waste Reduction Act 2020 and National Plastics Plan remains limited. Hossain et al. (2022) reviewed the country's plastic waste system, relying on government reports, industry data, and academic research to identify a consistent gap between plastic waste discard rates and domestic treatment capacity. Ng et al. (2021) used simulation modelling to examine if Victoria can meet its target to divert 80% of all landfilled waste by 2030 and achieve zero plastic waste by 2035. The authors note that the average national recycling rate is just 9.4% (2017–2018) and conclude that meeting the 80% proposed target is only possible if existing infrastructure gaps are closed. The drawback of that modelling is its reliance on assumption instead of real data. </w:t>
      </w:r>
      <w:proofErr w:type="spellStart"/>
      <w:r w:rsidR="00A26DE1" w:rsidRPr="003335F8">
        <w:rPr>
          <w:rFonts w:ascii="Arial" w:hAnsi="Arial" w:cs="Arial"/>
        </w:rPr>
        <w:t>Soenmez</w:t>
      </w:r>
      <w:proofErr w:type="spellEnd"/>
      <w:r w:rsidR="00A26DE1" w:rsidRPr="003335F8">
        <w:rPr>
          <w:rFonts w:ascii="Arial" w:hAnsi="Arial" w:cs="Arial"/>
        </w:rPr>
        <w:t xml:space="preserve"> et al. (2024) used life cycle environmental analysis to compare current plastic waste management in the country (2018–2019) to a policy-envisioned scenario for 2030 with enhanced recycling and a ban on exports, where they found the current system remains largely linear while the 2030 scenario would deliver measurable environmental improvement if realised.</w:t>
      </w:r>
    </w:p>
    <w:p w14:paraId="4D3C1E6A" w14:textId="77777777" w:rsidR="00A26DE1" w:rsidRPr="003335F8" w:rsidRDefault="00A26DE1" w:rsidP="00A26DE1">
      <w:pPr>
        <w:rPr>
          <w:rFonts w:ascii="Arial" w:hAnsi="Arial" w:cs="Arial"/>
        </w:rPr>
      </w:pPr>
      <w:r w:rsidRPr="003335F8">
        <w:rPr>
          <w:rFonts w:ascii="Arial" w:hAnsi="Arial" w:cs="Arial"/>
        </w:rPr>
        <w:t xml:space="preserve">     The 2022 collapse of the </w:t>
      </w:r>
      <w:proofErr w:type="spellStart"/>
      <w:r w:rsidRPr="003335F8">
        <w:rPr>
          <w:rFonts w:ascii="Arial" w:hAnsi="Arial" w:cs="Arial"/>
        </w:rPr>
        <w:t>REDcycle</w:t>
      </w:r>
      <w:proofErr w:type="spellEnd"/>
      <w:r w:rsidRPr="003335F8">
        <w:rPr>
          <w:rFonts w:ascii="Arial" w:hAnsi="Arial" w:cs="Arial"/>
        </w:rPr>
        <w:t xml:space="preserve"> scheme for soft plastics was explored through actor-network and sustainability transitions theory, and it was determined that the collapse set back national progress towards recycling targets and exposed the fragility of underlying infrastructure and end markets (Shittu et al., 2024). Being a single case study, its findings are illustrative, indicating that it is not a comprehensive measure for the whole of the country. Collectively, these papers suggest that the country's progress on meeting its plastic recycling targets has been slow and uneven, hampered by reprocessing capacity, infrastructure, and end-market shortfalls (Hossain et al., 2022; Ng et al., 2021; Shittu et al., 2024). No study has measured how a real-world setback like </w:t>
      </w:r>
      <w:proofErr w:type="spellStart"/>
      <w:r w:rsidRPr="003335F8">
        <w:rPr>
          <w:rFonts w:ascii="Arial" w:hAnsi="Arial" w:cs="Arial"/>
        </w:rPr>
        <w:t>REDcycle's</w:t>
      </w:r>
      <w:proofErr w:type="spellEnd"/>
      <w:r w:rsidRPr="003335F8">
        <w:rPr>
          <w:rFonts w:ascii="Arial" w:hAnsi="Arial" w:cs="Arial"/>
        </w:rPr>
        <w:t xml:space="preserve"> collapse has </w:t>
      </w:r>
      <w:proofErr w:type="gramStart"/>
      <w:r w:rsidRPr="003335F8">
        <w:rPr>
          <w:rFonts w:ascii="Arial" w:hAnsi="Arial" w:cs="Arial"/>
        </w:rPr>
        <w:t>actually moved</w:t>
      </w:r>
      <w:proofErr w:type="gramEnd"/>
      <w:r w:rsidRPr="003335F8">
        <w:rPr>
          <w:rFonts w:ascii="Arial" w:hAnsi="Arial" w:cs="Arial"/>
        </w:rPr>
        <w:t xml:space="preserve"> the needle on the nation's progress towards its national targets. That gap, an integrated, evidence-based picture of where the country truly stands, is what RQ1 sets out to address.</w:t>
      </w:r>
    </w:p>
    <w:p w14:paraId="1667B66E" w14:textId="77777777" w:rsidR="00A26DE1" w:rsidRPr="003335F8" w:rsidRDefault="00A26DE1" w:rsidP="00A26DE1">
      <w:pPr>
        <w:rPr>
          <w:rFonts w:ascii="Arial" w:hAnsi="Arial" w:cs="Arial"/>
        </w:rPr>
      </w:pPr>
      <w:r w:rsidRPr="003335F8">
        <w:rPr>
          <w:rFonts w:ascii="Arial" w:hAnsi="Arial" w:cs="Arial"/>
        </w:rPr>
        <w:t xml:space="preserve"> </w:t>
      </w:r>
    </w:p>
    <w:p w14:paraId="23CE5F59" w14:textId="77777777" w:rsidR="00A26DE1" w:rsidRPr="003335F8" w:rsidRDefault="00A26DE1" w:rsidP="00A26DE1">
      <w:pPr>
        <w:rPr>
          <w:rFonts w:ascii="Arial" w:hAnsi="Arial" w:cs="Arial"/>
        </w:rPr>
      </w:pPr>
      <w:r w:rsidRPr="003335F8">
        <w:rPr>
          <w:rFonts w:ascii="Arial" w:hAnsi="Arial" w:cs="Arial"/>
        </w:rPr>
        <w:t xml:space="preserve"> </w:t>
      </w:r>
    </w:p>
    <w:p w14:paraId="3F2C9473" w14:textId="584CB18E" w:rsidR="00A26DE1" w:rsidRPr="003335F8" w:rsidRDefault="00A26DE1" w:rsidP="00A26DE1">
      <w:pPr>
        <w:rPr>
          <w:rFonts w:ascii="Arial" w:hAnsi="Arial" w:cs="Arial"/>
          <w:b/>
          <w:bCs/>
        </w:rPr>
      </w:pPr>
      <w:r w:rsidRPr="003335F8">
        <w:rPr>
          <w:rFonts w:ascii="Arial" w:hAnsi="Arial" w:cs="Arial"/>
          <w:b/>
          <w:bCs/>
        </w:rPr>
        <w:t>3.2 Key barriers of plastic recycling</w:t>
      </w:r>
      <w:r w:rsidRPr="003335F8">
        <w:rPr>
          <w:rFonts w:ascii="Arial" w:hAnsi="Arial" w:cs="Arial"/>
          <w:b/>
          <w:bCs/>
        </w:rPr>
        <w:br/>
      </w:r>
    </w:p>
    <w:p w14:paraId="2C47E5AE" w14:textId="7A6A1DC1" w:rsidR="00A26DE1" w:rsidRPr="003335F8" w:rsidRDefault="00A26DE1" w:rsidP="00A26DE1">
      <w:pPr>
        <w:rPr>
          <w:rFonts w:ascii="Arial" w:hAnsi="Arial" w:cs="Arial"/>
        </w:rPr>
      </w:pPr>
      <w:r w:rsidRPr="003335F8">
        <w:rPr>
          <w:rFonts w:ascii="Arial" w:hAnsi="Arial" w:cs="Arial"/>
        </w:rPr>
        <w:t xml:space="preserve"> </w:t>
      </w:r>
      <w:r w:rsidR="003B738A">
        <w:rPr>
          <w:rFonts w:ascii="Arial" w:hAnsi="Arial" w:cs="Arial"/>
        </w:rPr>
        <w:t xml:space="preserve">     </w:t>
      </w:r>
      <w:r w:rsidRPr="003335F8">
        <w:rPr>
          <w:rFonts w:ascii="Arial" w:hAnsi="Arial" w:cs="Arial"/>
        </w:rPr>
        <w:t xml:space="preserve">Closing the gap between recycling targets and actual results requires understanding what hinders the implementation of a circular economy. Literature groups barriers into four closely related categories: regulatory, market, technical and cultural. This study carries this message forward. Regulatory barriers include </w:t>
      </w:r>
      <w:r w:rsidRPr="003335F8">
        <w:rPr>
          <w:rFonts w:ascii="Arial" w:hAnsi="Arial" w:cs="Arial"/>
        </w:rPr>
        <w:lastRenderedPageBreak/>
        <w:t>fragmented governance at different levels (Shittu et al., 2024), decades without changes to regulations (Johnson et al., 2025) and structural deficiencies (Hossain et al., 2022).</w:t>
      </w:r>
    </w:p>
    <w:p w14:paraId="5D431F3F" w14:textId="77777777" w:rsidR="00A26DE1" w:rsidRPr="003335F8" w:rsidRDefault="00A26DE1" w:rsidP="00A26DE1">
      <w:pPr>
        <w:rPr>
          <w:rFonts w:ascii="Arial" w:hAnsi="Arial" w:cs="Arial"/>
        </w:rPr>
      </w:pPr>
      <w:r w:rsidRPr="003335F8">
        <w:rPr>
          <w:rFonts w:ascii="Arial" w:hAnsi="Arial" w:cs="Arial"/>
        </w:rPr>
        <w:t xml:space="preserve">      Market barriers focus on low prices for virgin materials, undermining the competitiveness of recycled materials (Cáceres Ruiz and Zaman, 2022; Bening et al., 2021; Kirchherr et al., 2018). Technical barriers involve contamination and insufficient processing capacity (Cáceres Ruiz and Zaman, 2022; Hossain et al., 2022; Shittu et al., 2024). Cultural barriers include errors in sorting at home and inertia among consumers (Cáceres Ruiz and Zaman, 2022; Kirchherr et al., 2018). These barriers do not operate in isolation but intertwine: Bening et al. (2021) show regulatory barriers tangled with technical/economic ones and Kirchherr et al. (2018) describe a chain reaction from market barriers to cultural ones. Different literature ranks severity differently: Kirchherr et al. (2018) rank cultural barriers as highest and technological barriers as lowest compared to earlier work that focused more on technology. Bening et al. (2021) also show actors disagree even on solutions.</w:t>
      </w:r>
    </w:p>
    <w:p w14:paraId="7312A853" w14:textId="77777777" w:rsidR="00A26DE1" w:rsidRPr="003335F8" w:rsidRDefault="00A26DE1" w:rsidP="00A26DE1">
      <w:pPr>
        <w:rPr>
          <w:rFonts w:ascii="Arial" w:hAnsi="Arial" w:cs="Arial"/>
        </w:rPr>
      </w:pPr>
      <w:r w:rsidRPr="003335F8">
        <w:rPr>
          <w:rFonts w:ascii="Arial" w:hAnsi="Arial" w:cs="Arial"/>
        </w:rPr>
        <w:t xml:space="preserve">      Still to be determined is how each of these interactional obstacles will work together in a larger system across an entire nation. The authors, Kirchherr et al. (2018) and Bening et al. (2021), who created the first integrated model with links to the regulatory, market, technical, and cultural barriers tested their model only inside the EU and have not extended their model outside of Europe. In addition, the bulk of the research on barriers examines only one scheme, sector or area of government at a time. Therefore, although many studies document each individual obstacle and the joint effects that can occur when two obstacles interact; very little has been shown about how these four types of obstacles combine to produce outcomes for a country’s total system.</w:t>
      </w:r>
    </w:p>
    <w:p w14:paraId="2DD05C55" w14:textId="77777777" w:rsidR="00A26DE1" w:rsidRPr="003335F8" w:rsidRDefault="00A26DE1" w:rsidP="00A26DE1">
      <w:pPr>
        <w:rPr>
          <w:rFonts w:ascii="Arial" w:hAnsi="Arial" w:cs="Arial"/>
        </w:rPr>
      </w:pPr>
      <w:r w:rsidRPr="003335F8">
        <w:rPr>
          <w:rFonts w:ascii="Arial" w:hAnsi="Arial" w:cs="Arial"/>
        </w:rPr>
        <w:t xml:space="preserve"> </w:t>
      </w:r>
    </w:p>
    <w:p w14:paraId="2D72FD2D" w14:textId="77777777" w:rsidR="00A26DE1" w:rsidRPr="003335F8" w:rsidRDefault="00A26DE1" w:rsidP="00A26DE1">
      <w:pPr>
        <w:rPr>
          <w:rFonts w:ascii="Arial" w:hAnsi="Arial" w:cs="Arial"/>
          <w:b/>
          <w:bCs/>
        </w:rPr>
      </w:pPr>
      <w:r w:rsidRPr="003335F8">
        <w:rPr>
          <w:rFonts w:ascii="Arial" w:hAnsi="Arial" w:cs="Arial"/>
          <w:b/>
          <w:bCs/>
        </w:rPr>
        <w:t xml:space="preserve"> </w:t>
      </w:r>
    </w:p>
    <w:p w14:paraId="2F676816" w14:textId="77777777" w:rsidR="00A26DE1" w:rsidRPr="003335F8" w:rsidRDefault="00A26DE1" w:rsidP="00A26DE1">
      <w:pPr>
        <w:rPr>
          <w:rFonts w:ascii="Arial" w:hAnsi="Arial" w:cs="Arial"/>
          <w:b/>
          <w:bCs/>
        </w:rPr>
      </w:pPr>
      <w:r w:rsidRPr="003335F8">
        <w:rPr>
          <w:rFonts w:ascii="Arial" w:hAnsi="Arial" w:cs="Arial"/>
          <w:b/>
          <w:bCs/>
        </w:rPr>
        <w:t>3.3 Comparing Plastic Waste Policy Approaches and Recycling Outcomes</w:t>
      </w:r>
    </w:p>
    <w:p w14:paraId="0A55425A" w14:textId="23AB3E0E"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Improving Australia's plastic waste management system requires a first step of knowing which policy tools are most effective at improving the performance of recycling. There are always three main elements (regulation, Extended Producer responsibility (EPR), infrastructure and market instruments) that can be found in the literature as essential for an effective policy for promoting a circular economy. According to Johnson et al. (2025), the Australian system has not achieved anywhere near the same level of progress as the EU's obligatory system. By moving financial and operational responsibility from the government to the producers, Bassi et al. (2020) shows how EPR enhances recycling results and allows for a greater investment in collection and reprocessing infrastructure. Furthermore, Pruess (2023) shows that there is a strong variation in the design, implementation and governance of EPRs in EU member states, meaning that there is no best practice EPR and that a </w:t>
      </w:r>
      <w:r w:rsidR="00A26DE1" w:rsidRPr="003335F8">
        <w:rPr>
          <w:rFonts w:ascii="Arial" w:hAnsi="Arial" w:cs="Arial"/>
        </w:rPr>
        <w:lastRenderedPageBreak/>
        <w:t>mix of policy instruments adapted to each country is required for effective systems.</w:t>
      </w:r>
      <w:r w:rsidR="009F62CF">
        <w:rPr>
          <w:rFonts w:ascii="Arial" w:hAnsi="Arial" w:cs="Arial"/>
        </w:rPr>
        <w:t xml:space="preserve"> </w:t>
      </w:r>
      <w:r w:rsidR="00A26DE1" w:rsidRPr="003335F8">
        <w:rPr>
          <w:rFonts w:ascii="Arial" w:hAnsi="Arial" w:cs="Arial"/>
        </w:rPr>
        <w:t xml:space="preserve">It has also been documented in the literature, however, that regulation is not sufficient. Along with material quality, contamination management, recycling technology and end-market demand, </w:t>
      </w:r>
      <w:proofErr w:type="spellStart"/>
      <w:r w:rsidR="00A26DE1" w:rsidRPr="003335F8">
        <w:rPr>
          <w:rFonts w:ascii="Arial" w:hAnsi="Arial" w:cs="Arial"/>
        </w:rPr>
        <w:t>Hahladakis</w:t>
      </w:r>
      <w:proofErr w:type="spellEnd"/>
      <w:r w:rsidR="00A26DE1" w:rsidRPr="003335F8">
        <w:rPr>
          <w:rFonts w:ascii="Arial" w:hAnsi="Arial" w:cs="Arial"/>
        </w:rPr>
        <w:t xml:space="preserve"> and </w:t>
      </w:r>
      <w:proofErr w:type="spellStart"/>
      <w:r w:rsidR="00A26DE1" w:rsidRPr="003335F8">
        <w:rPr>
          <w:rFonts w:ascii="Arial" w:hAnsi="Arial" w:cs="Arial"/>
        </w:rPr>
        <w:t>Iacovidou</w:t>
      </w:r>
      <w:proofErr w:type="spellEnd"/>
      <w:r w:rsidR="00A26DE1" w:rsidRPr="003335F8">
        <w:rPr>
          <w:rFonts w:ascii="Arial" w:hAnsi="Arial" w:cs="Arial"/>
        </w:rPr>
        <w:t xml:space="preserve"> (2018) list these four factors as important components for plastic circularity. Bassi et al. (2020) and Johnson et al. (2025) are both primarily concerned with producer responsibility and regulatory design, while Pruess (2023) treats institutional, economic and market conditions more broadly, and argues for taking them into account when switching policy between jurisdictions. The policy environment </w:t>
      </w:r>
      <w:proofErr w:type="gramStart"/>
      <w:r w:rsidR="00A26DE1" w:rsidRPr="003335F8">
        <w:rPr>
          <w:rFonts w:ascii="Arial" w:hAnsi="Arial" w:cs="Arial"/>
        </w:rPr>
        <w:t>has to</w:t>
      </w:r>
      <w:proofErr w:type="gramEnd"/>
      <w:r w:rsidR="00A26DE1" w:rsidRPr="003335F8">
        <w:rPr>
          <w:rFonts w:ascii="Arial" w:hAnsi="Arial" w:cs="Arial"/>
        </w:rPr>
        <w:t xml:space="preserve"> be strengthened, and on this point both the literature and the experiences of the partner countries are unanimous, but there are varying emphases, such as in terms of regulation, technical capacity, and market development.</w:t>
      </w:r>
    </w:p>
    <w:p w14:paraId="03DF20A9" w14:textId="0F742777"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However, the literature provides little consideration to which international policy mechanisms are best suited to Australia in particular. This paper aims to fill that void by exploring international policy practices, including EU EPR design characteristics, and how these might enhance Australia's domestic recycling results and circular economy objectives.</w:t>
      </w:r>
    </w:p>
    <w:p w14:paraId="21F49C15" w14:textId="77777777" w:rsidR="00A26DE1" w:rsidRPr="003335F8" w:rsidRDefault="00A26DE1" w:rsidP="00A26DE1">
      <w:pPr>
        <w:rPr>
          <w:rFonts w:ascii="Arial" w:hAnsi="Arial" w:cs="Arial"/>
        </w:rPr>
      </w:pPr>
    </w:p>
    <w:p w14:paraId="40149D4F" w14:textId="77777777" w:rsidR="00A26DE1" w:rsidRPr="003335F8" w:rsidRDefault="00A26DE1" w:rsidP="00A26DE1">
      <w:pPr>
        <w:rPr>
          <w:rFonts w:ascii="Arial" w:hAnsi="Arial" w:cs="Arial"/>
          <w:b/>
          <w:bCs/>
        </w:rPr>
      </w:pPr>
    </w:p>
    <w:p w14:paraId="71E3A4B5" w14:textId="7A4BC9BB" w:rsidR="00A26DE1" w:rsidRPr="003335F8" w:rsidRDefault="00A26DE1" w:rsidP="00A26DE1">
      <w:pPr>
        <w:rPr>
          <w:rFonts w:ascii="Arial" w:hAnsi="Arial" w:cs="Arial"/>
          <w:b/>
          <w:bCs/>
          <w:sz w:val="28"/>
          <w:szCs w:val="28"/>
        </w:rPr>
      </w:pPr>
      <w:r w:rsidRPr="003335F8">
        <w:rPr>
          <w:rFonts w:ascii="Arial" w:hAnsi="Arial" w:cs="Arial"/>
          <w:b/>
          <w:bCs/>
          <w:sz w:val="28"/>
          <w:szCs w:val="28"/>
        </w:rPr>
        <w:t>4. Research Design</w:t>
      </w:r>
      <w:r w:rsidR="000B5DB6" w:rsidRPr="003335F8">
        <w:rPr>
          <w:rFonts w:ascii="Arial" w:hAnsi="Arial" w:cs="Arial"/>
          <w:b/>
          <w:bCs/>
          <w:sz w:val="28"/>
          <w:szCs w:val="28"/>
        </w:rPr>
        <w:br/>
      </w:r>
    </w:p>
    <w:p w14:paraId="453298C2" w14:textId="77777777" w:rsidR="00A26DE1" w:rsidRPr="003335F8" w:rsidRDefault="00A26DE1" w:rsidP="00A26DE1">
      <w:pPr>
        <w:rPr>
          <w:rFonts w:ascii="Arial" w:hAnsi="Arial" w:cs="Arial"/>
          <w:b/>
          <w:bCs/>
        </w:rPr>
      </w:pPr>
      <w:r w:rsidRPr="003335F8">
        <w:rPr>
          <w:rFonts w:ascii="Arial" w:hAnsi="Arial" w:cs="Arial"/>
          <w:b/>
          <w:bCs/>
        </w:rPr>
        <w:t>4.1 Type of Research Undertaken</w:t>
      </w:r>
    </w:p>
    <w:p w14:paraId="411B1E9F" w14:textId="74AF5F80"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This project applied a qualitative/descriptive research methodology. Descriptive designs are well-suited to studies that describe the operation of an existing system as opposed to assessing whether a theoretical assumption can be supported by empirical observation. The answers to the three research questions were found through interpretation of document-based information. There was no primary data collection for this </w:t>
      </w:r>
      <w:proofErr w:type="gramStart"/>
      <w:r w:rsidR="00A26DE1" w:rsidRPr="003335F8">
        <w:rPr>
          <w:rFonts w:ascii="Arial" w:hAnsi="Arial" w:cs="Arial"/>
        </w:rPr>
        <w:t>project</w:t>
      </w:r>
      <w:proofErr w:type="gramEnd"/>
      <w:r w:rsidR="00A26DE1" w:rsidRPr="003335F8">
        <w:rPr>
          <w:rFonts w:ascii="Arial" w:hAnsi="Arial" w:cs="Arial"/>
        </w:rPr>
        <w:t xml:space="preserve"> and the unit of analysis is therefore the national plastic waste policy framework rather than specific business entities or consumers.</w:t>
      </w:r>
    </w:p>
    <w:p w14:paraId="487292ED" w14:textId="77777777" w:rsidR="00A26DE1" w:rsidRPr="003335F8" w:rsidRDefault="00A26DE1" w:rsidP="00A26DE1">
      <w:pPr>
        <w:rPr>
          <w:rFonts w:ascii="Arial" w:hAnsi="Arial" w:cs="Arial"/>
        </w:rPr>
      </w:pPr>
    </w:p>
    <w:p w14:paraId="6E7B6DC7" w14:textId="06EF9B01" w:rsidR="00A26DE1" w:rsidRPr="003335F8" w:rsidRDefault="000B5DB6" w:rsidP="00A26DE1">
      <w:pPr>
        <w:rPr>
          <w:rFonts w:ascii="Arial" w:hAnsi="Arial" w:cs="Arial"/>
          <w:b/>
          <w:bCs/>
        </w:rPr>
      </w:pPr>
      <w:r w:rsidRPr="003335F8">
        <w:rPr>
          <w:rFonts w:ascii="Arial" w:hAnsi="Arial" w:cs="Arial"/>
          <w:b/>
          <w:bCs/>
        </w:rPr>
        <w:br/>
      </w:r>
      <w:r w:rsidR="003B738A">
        <w:rPr>
          <w:rFonts w:ascii="Arial" w:hAnsi="Arial" w:cs="Arial"/>
          <w:b/>
          <w:bCs/>
        </w:rPr>
        <w:br/>
      </w:r>
      <w:r w:rsidRPr="003335F8">
        <w:rPr>
          <w:rFonts w:ascii="Arial" w:hAnsi="Arial" w:cs="Arial"/>
          <w:b/>
          <w:bCs/>
        </w:rPr>
        <w:br/>
      </w:r>
    </w:p>
    <w:p w14:paraId="102F69C6" w14:textId="77777777" w:rsidR="00A26DE1" w:rsidRPr="003335F8" w:rsidRDefault="00A26DE1" w:rsidP="00A26DE1">
      <w:pPr>
        <w:rPr>
          <w:rFonts w:ascii="Arial" w:hAnsi="Arial" w:cs="Arial"/>
          <w:b/>
          <w:bCs/>
        </w:rPr>
      </w:pPr>
      <w:r w:rsidRPr="003335F8">
        <w:rPr>
          <w:rFonts w:ascii="Arial" w:hAnsi="Arial" w:cs="Arial"/>
          <w:b/>
          <w:bCs/>
        </w:rPr>
        <w:t>4.2 Data Collection Strategy</w:t>
      </w:r>
    </w:p>
    <w:p w14:paraId="05F99BC9" w14:textId="1B1277FF"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All data were secondary. The unit's parameters did not allow for primary fieldwork because the problem in this study exists on the levels of federal and state policy, national waste flows, international comparison. Each of the selected sources were </w:t>
      </w:r>
      <w:r w:rsidR="00A26DE1" w:rsidRPr="003335F8">
        <w:rPr>
          <w:rFonts w:ascii="Arial" w:hAnsi="Arial" w:cs="Arial"/>
        </w:rPr>
        <w:lastRenderedPageBreak/>
        <w:t>selected with purpose and categorised into one research question. As a result of utilising primary source materials, only that information that comprised government policy documents, parliamentary inquiry reports, government research agency publications, reporting from industry associations, international regulatory/statistical resources and national media were used as data. Peer-reviewed articles were not used as data; these deliver literature review against which comparisons will be made.</w:t>
      </w:r>
    </w:p>
    <w:p w14:paraId="53DA331A" w14:textId="77777777" w:rsidR="00A26DE1" w:rsidRPr="003335F8" w:rsidRDefault="00A26DE1" w:rsidP="00A26DE1">
      <w:pPr>
        <w:rPr>
          <w:rFonts w:ascii="Arial" w:hAnsi="Arial" w:cs="Arial"/>
        </w:rPr>
      </w:pPr>
    </w:p>
    <w:p w14:paraId="74E7586A" w14:textId="77777777" w:rsidR="00A26DE1" w:rsidRPr="003335F8" w:rsidRDefault="00A26DE1" w:rsidP="00A26DE1">
      <w:pPr>
        <w:rPr>
          <w:rFonts w:ascii="Arial" w:hAnsi="Arial" w:cs="Arial"/>
        </w:rPr>
      </w:pPr>
    </w:p>
    <w:p w14:paraId="6A37D0E4" w14:textId="77777777" w:rsidR="00A26DE1" w:rsidRPr="003335F8" w:rsidRDefault="00A26DE1" w:rsidP="00A26DE1">
      <w:pPr>
        <w:rPr>
          <w:rFonts w:ascii="Arial" w:hAnsi="Arial" w:cs="Arial"/>
          <w:b/>
          <w:bCs/>
        </w:rPr>
      </w:pPr>
      <w:r w:rsidRPr="003335F8">
        <w:rPr>
          <w:rFonts w:ascii="Arial" w:hAnsi="Arial" w:cs="Arial"/>
          <w:b/>
          <w:bCs/>
        </w:rPr>
        <w:t>4.3 Data Analysis Strategy</w:t>
      </w:r>
    </w:p>
    <w:p w14:paraId="7A55BABA" w14:textId="03BAB0CF"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The thematic analysis followed Braun and Clarke's (2006) six-phase approach. The coding was performed manually due to the large corpus. In addition, all direct quotes were entered onto an excerpt sheet with source and page number where applicable, therefore all extracts are traceable. Once codes were grouped into </w:t>
      </w:r>
      <w:proofErr w:type="gramStart"/>
      <w:r w:rsidR="00A26DE1" w:rsidRPr="003335F8">
        <w:rPr>
          <w:rFonts w:ascii="Arial" w:hAnsi="Arial" w:cs="Arial"/>
        </w:rPr>
        <w:t>themes</w:t>
      </w:r>
      <w:proofErr w:type="gramEnd"/>
      <w:r w:rsidR="00A26DE1" w:rsidRPr="003335F8">
        <w:rPr>
          <w:rFonts w:ascii="Arial" w:hAnsi="Arial" w:cs="Arial"/>
        </w:rPr>
        <w:t xml:space="preserve"> they were also examined in relation to existing research.</w:t>
      </w:r>
    </w:p>
    <w:p w14:paraId="45E97418" w14:textId="509DF43A" w:rsidR="00A26DE1" w:rsidRPr="003335F8" w:rsidRDefault="009F62CF" w:rsidP="00A26DE1">
      <w:pPr>
        <w:rPr>
          <w:rFonts w:ascii="Arial" w:hAnsi="Arial" w:cs="Arial"/>
        </w:rPr>
      </w:pPr>
      <w:r>
        <w:rPr>
          <w:rFonts w:ascii="Arial" w:hAnsi="Arial" w:cs="Arial"/>
        </w:rPr>
        <w:t xml:space="preserve">     </w:t>
      </w:r>
      <w:r w:rsidR="00A26DE1" w:rsidRPr="003335F8">
        <w:rPr>
          <w:rFonts w:ascii="Arial" w:hAnsi="Arial" w:cs="Arial"/>
        </w:rPr>
        <w:t>O’Connor and Gibson (2003) provided a method to address reliability. To the extent possible, themes were cross-checked between different sources; for RQ2 the consumer survey results were checked against an independent bin audit as a measure of consumers' actual disposal behaviour. Rather than discarding cases that did not fit an emerging theme these cases were kept and included within the report.</w:t>
      </w:r>
    </w:p>
    <w:p w14:paraId="2817A6BE" w14:textId="77777777" w:rsidR="00A26DE1" w:rsidRPr="003335F8" w:rsidRDefault="00A26DE1" w:rsidP="00A26DE1">
      <w:pPr>
        <w:rPr>
          <w:rFonts w:ascii="Arial" w:hAnsi="Arial" w:cs="Arial"/>
        </w:rPr>
      </w:pPr>
    </w:p>
    <w:p w14:paraId="2E64A1B0" w14:textId="36A457F0" w:rsidR="00A26DE1" w:rsidRPr="003335F8" w:rsidRDefault="00A26DE1" w:rsidP="00A26DE1">
      <w:pPr>
        <w:rPr>
          <w:rFonts w:ascii="Arial" w:hAnsi="Arial" w:cs="Arial"/>
          <w:b/>
          <w:bCs/>
          <w:sz w:val="28"/>
          <w:szCs w:val="28"/>
        </w:rPr>
      </w:pPr>
      <w:r w:rsidRPr="003335F8">
        <w:rPr>
          <w:rFonts w:ascii="Arial" w:hAnsi="Arial" w:cs="Arial"/>
          <w:b/>
          <w:bCs/>
          <w:sz w:val="28"/>
          <w:szCs w:val="28"/>
        </w:rPr>
        <w:t>5. Findings and Discussions</w:t>
      </w:r>
      <w:r w:rsidR="000B5DB6" w:rsidRPr="003335F8">
        <w:rPr>
          <w:rFonts w:ascii="Arial" w:hAnsi="Arial" w:cs="Arial"/>
          <w:b/>
          <w:bCs/>
          <w:sz w:val="28"/>
          <w:szCs w:val="28"/>
        </w:rPr>
        <w:br/>
      </w:r>
      <w:r w:rsidR="000B5DB6" w:rsidRPr="003335F8">
        <w:rPr>
          <w:rFonts w:ascii="Arial" w:hAnsi="Arial" w:cs="Arial"/>
          <w:b/>
          <w:bCs/>
          <w:sz w:val="28"/>
          <w:szCs w:val="28"/>
        </w:rPr>
        <w:br/>
      </w:r>
    </w:p>
    <w:p w14:paraId="659BAE88" w14:textId="77777777" w:rsidR="00A26DE1" w:rsidRPr="003335F8" w:rsidRDefault="00A26DE1" w:rsidP="00A26DE1">
      <w:pPr>
        <w:rPr>
          <w:rFonts w:ascii="Arial" w:hAnsi="Arial" w:cs="Arial"/>
          <w:b/>
          <w:bCs/>
        </w:rPr>
      </w:pPr>
      <w:r w:rsidRPr="003335F8">
        <w:rPr>
          <w:rFonts w:ascii="Arial" w:hAnsi="Arial" w:cs="Arial"/>
          <w:b/>
          <w:bCs/>
        </w:rPr>
        <w:t>5.1 RQ1</w:t>
      </w:r>
    </w:p>
    <w:p w14:paraId="20839031" w14:textId="77777777" w:rsidR="00A26DE1" w:rsidRPr="003335F8" w:rsidRDefault="00A26DE1" w:rsidP="00A26DE1">
      <w:pPr>
        <w:rPr>
          <w:rFonts w:ascii="Arial" w:hAnsi="Arial" w:cs="Arial"/>
          <w:b/>
          <w:bCs/>
        </w:rPr>
      </w:pPr>
      <w:r w:rsidRPr="003335F8">
        <w:rPr>
          <w:rFonts w:ascii="Arial" w:hAnsi="Arial" w:cs="Arial"/>
          <w:b/>
          <w:bCs/>
        </w:rPr>
        <w:t>5.1.1 Overview of Data</w:t>
      </w:r>
    </w:p>
    <w:p w14:paraId="723F7A25" w14:textId="01A04D2F"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In the analysis of RQ1, the following five primary sources were used: government reporting; industry reporting (including the APCO Packaging Targets tracker); and the DCCEEW Australian Plastics Flows and Fate (APFF) data, including the APCO National Plastics Recycling Survey (Consumption &amp; Recovery 2023–24). In 2019-20, the national plastic recycling rate was 13 percent, which is below the National Packaging Target of 70 percent by 2025 (National Plastics Plan 2021, p. 2). There are three themes identified.</w:t>
      </w:r>
    </w:p>
    <w:p w14:paraId="083DCF30" w14:textId="77777777" w:rsidR="00A26DE1" w:rsidRPr="003335F8" w:rsidRDefault="00A26DE1" w:rsidP="00A26DE1">
      <w:pPr>
        <w:rPr>
          <w:rFonts w:ascii="Arial" w:hAnsi="Arial" w:cs="Arial"/>
          <w:b/>
          <w:bCs/>
        </w:rPr>
      </w:pPr>
      <w:r w:rsidRPr="003335F8">
        <w:rPr>
          <w:rFonts w:ascii="Arial" w:hAnsi="Arial" w:cs="Arial"/>
          <w:b/>
          <w:bCs/>
        </w:rPr>
        <w:t>5.1.2 Theme 1 - Progress is well below average.</w:t>
      </w:r>
    </w:p>
    <w:p w14:paraId="46420DB9" w14:textId="011D5B20"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There has been little change in national recycling rates in the last few years, and they have ranged from 12 per cent to 27 per cent, with the target of 70 per cent set to reach the year 2025 (DCCEEW APFF; APCO Packaging Targets tracker) now </w:t>
      </w:r>
      <w:r w:rsidR="00A26DE1" w:rsidRPr="003335F8">
        <w:rPr>
          <w:rFonts w:ascii="Arial" w:hAnsi="Arial" w:cs="Arial"/>
        </w:rPr>
        <w:lastRenderedPageBreak/>
        <w:t>passed. The gap between what's achieved and what's expected is not insignificant; Australia's rate is around 13 percent, a quarter of the way to the target.</w:t>
      </w:r>
    </w:p>
    <w:p w14:paraId="6F154F44" w14:textId="77777777" w:rsidR="00A26DE1" w:rsidRPr="003335F8" w:rsidRDefault="00A26DE1" w:rsidP="00A26DE1">
      <w:pPr>
        <w:rPr>
          <w:rFonts w:ascii="Arial" w:hAnsi="Arial" w:cs="Arial"/>
          <w:b/>
          <w:bCs/>
        </w:rPr>
      </w:pPr>
      <w:r w:rsidRPr="003335F8">
        <w:rPr>
          <w:rFonts w:ascii="Arial" w:hAnsi="Arial" w:cs="Arial"/>
          <w:b/>
          <w:bCs/>
        </w:rPr>
        <w:t>5.1.3 Theme 2 - Potential not realized capacity</w:t>
      </w:r>
    </w:p>
    <w:p w14:paraId="1F8ED479" w14:textId="481615FC"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There is just about half of the infrastructure available for reprocessing (APCO Consumption &amp; Recovery 2023–24). But that's not a capacity problem; it's a demand problem for recycled materials after recycling—the plants exist, but the demand does not.</w:t>
      </w:r>
    </w:p>
    <w:p w14:paraId="4579E7AB" w14:textId="77777777" w:rsidR="00A26DE1" w:rsidRPr="003335F8" w:rsidRDefault="00A26DE1" w:rsidP="00A26DE1">
      <w:pPr>
        <w:rPr>
          <w:rFonts w:ascii="Arial" w:hAnsi="Arial" w:cs="Arial"/>
          <w:b/>
          <w:bCs/>
        </w:rPr>
      </w:pPr>
      <w:r w:rsidRPr="003335F8">
        <w:rPr>
          <w:rFonts w:ascii="Arial" w:hAnsi="Arial" w:cs="Arial"/>
          <w:b/>
          <w:bCs/>
        </w:rPr>
        <w:t>5.1.4 Theme 3 - Policy is becoming compulsory</w:t>
      </w:r>
    </w:p>
    <w:p w14:paraId="70B9706C" w14:textId="5F57CB5C"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There has been a policy change, with the theme 3 component making the change from "may" to "must." The national Extended Producer Responsibility (</w:t>
      </w:r>
      <w:proofErr w:type="spellStart"/>
      <w:r w:rsidR="00A26DE1" w:rsidRPr="003335F8">
        <w:rPr>
          <w:rFonts w:ascii="Arial" w:hAnsi="Arial" w:cs="Arial"/>
        </w:rPr>
        <w:t>ePR</w:t>
      </w:r>
      <w:proofErr w:type="spellEnd"/>
      <w:r w:rsidR="00A26DE1" w:rsidRPr="003335F8">
        <w:rPr>
          <w:rFonts w:ascii="Arial" w:hAnsi="Arial" w:cs="Arial"/>
        </w:rPr>
        <w:t>) reform package (DCCEEW APFF 2023–24) is replacing the pledges from voluntary industry schemes. This is a shift from a voluntary co-regulatory regime for packaging waste management to a still mandatory regime, with packaging producers with legal obligations.</w:t>
      </w:r>
    </w:p>
    <w:p w14:paraId="151ACF41" w14:textId="77777777" w:rsidR="00A26DE1" w:rsidRPr="003335F8" w:rsidRDefault="00A26DE1" w:rsidP="00A26DE1">
      <w:pPr>
        <w:rPr>
          <w:rFonts w:ascii="Arial" w:hAnsi="Arial" w:cs="Arial"/>
          <w:b/>
          <w:bCs/>
        </w:rPr>
      </w:pPr>
      <w:r w:rsidRPr="003335F8">
        <w:rPr>
          <w:rFonts w:ascii="Arial" w:hAnsi="Arial" w:cs="Arial"/>
          <w:b/>
          <w:bCs/>
        </w:rPr>
        <w:t>5.1.5 Theme 4 - Explaining the progress gap.</w:t>
      </w:r>
    </w:p>
    <w:p w14:paraId="408DB95E" w14:textId="7AA0033E"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Theme 1 builds on and draws upon the wider literature on how Australia's recycling system performs. In the country, 84 per cent of plastics reported are landfilled, with 13.1 per cent already being recycled (Ng et al. 2021). According to </w:t>
      </w:r>
      <w:proofErr w:type="spellStart"/>
      <w:r w:rsidR="00A26DE1" w:rsidRPr="003335F8">
        <w:rPr>
          <w:rFonts w:ascii="Arial" w:hAnsi="Arial" w:cs="Arial"/>
        </w:rPr>
        <w:t>Soenmez</w:t>
      </w:r>
      <w:proofErr w:type="spellEnd"/>
      <w:r w:rsidR="00A26DE1" w:rsidRPr="003335F8">
        <w:rPr>
          <w:rFonts w:ascii="Arial" w:hAnsi="Arial" w:cs="Arial"/>
        </w:rPr>
        <w:t xml:space="preserve"> et al. (2024), 9.4 per cent of plastics were recycled in the country, and 84 per cent were disposed of in landfills. Data collected here fall in the range of this data and complement the 2025 reform response, which occurred after both studies, but not in a way that detracts from the findings of these studies.</w:t>
      </w:r>
    </w:p>
    <w:p w14:paraId="180D334D" w14:textId="5D550D24" w:rsidR="00A26DE1" w:rsidRPr="003335F8" w:rsidRDefault="009F62CF" w:rsidP="00A26DE1">
      <w:pPr>
        <w:rPr>
          <w:rFonts w:ascii="Arial" w:hAnsi="Arial" w:cs="Arial"/>
        </w:rPr>
      </w:pPr>
      <w:r>
        <w:rPr>
          <w:rFonts w:ascii="Arial" w:hAnsi="Arial" w:cs="Arial"/>
        </w:rPr>
        <w:t xml:space="preserve">     </w:t>
      </w:r>
      <w:r w:rsidR="00A26DE1" w:rsidRPr="003335F8">
        <w:rPr>
          <w:rFonts w:ascii="Arial" w:hAnsi="Arial" w:cs="Arial"/>
        </w:rPr>
        <w:t>The recycling rate for plastic kerbside recycling is the lowest of all the material categories of packaging, in line with Madden and Florin (2024). However, the sources in the literature also indicate that this deficiency is mostly caused by contamination at the household, and the data collected for RQ1 show that mostly weak demand was found at the downstream. The explanations are not mutually exclusive: Contamination has negative implications on the quality of material flowing into the system; demand has negative implications on the quality of material flowing out of the system. Both demonstrate that there is more than one cause of the recycling issue in Australia, at various points in the value chain.</w:t>
      </w:r>
    </w:p>
    <w:p w14:paraId="4D75D6E1" w14:textId="5DDE8422" w:rsidR="00A26DE1" w:rsidRPr="003335F8" w:rsidRDefault="009F62CF" w:rsidP="00A26DE1">
      <w:pPr>
        <w:rPr>
          <w:rFonts w:ascii="Arial" w:hAnsi="Arial" w:cs="Arial"/>
        </w:rPr>
      </w:pPr>
      <w:r>
        <w:rPr>
          <w:rFonts w:ascii="Arial" w:hAnsi="Arial" w:cs="Arial"/>
        </w:rPr>
        <w:t xml:space="preserve">     </w:t>
      </w:r>
      <w:r w:rsidR="00A26DE1" w:rsidRPr="003335F8">
        <w:rPr>
          <w:rFonts w:ascii="Arial" w:hAnsi="Arial" w:cs="Arial"/>
        </w:rPr>
        <w:t xml:space="preserve">The general theme of Theme 3 is aligned with the CSIRO (2021) roadmap finding that governance issues with a lack of accountability between state and federal governments are a major impediment to delivering circular economy outcomes. This trend of EPR </w:t>
      </w:r>
      <w:proofErr w:type="spellStart"/>
      <w:r w:rsidR="00A26DE1" w:rsidRPr="003335F8">
        <w:rPr>
          <w:rFonts w:ascii="Arial" w:hAnsi="Arial" w:cs="Arial"/>
        </w:rPr>
        <w:t>mandation</w:t>
      </w:r>
      <w:proofErr w:type="spellEnd"/>
      <w:r w:rsidR="00A26DE1" w:rsidRPr="003335F8">
        <w:rPr>
          <w:rFonts w:ascii="Arial" w:hAnsi="Arial" w:cs="Arial"/>
        </w:rPr>
        <w:t xml:space="preserve"> identified here was more recent than any literature reviewed, indicating that policy evidence in this realm has been more dynamic than the academic literature.</w:t>
      </w:r>
    </w:p>
    <w:p w14:paraId="3CC161A3" w14:textId="62400165" w:rsidR="00A26DE1" w:rsidRPr="003335F8" w:rsidRDefault="009F62CF" w:rsidP="00A26DE1">
      <w:pPr>
        <w:rPr>
          <w:rFonts w:ascii="Arial" w:hAnsi="Arial" w:cs="Arial"/>
        </w:rPr>
      </w:pPr>
      <w:r>
        <w:rPr>
          <w:rFonts w:ascii="Arial" w:hAnsi="Arial" w:cs="Arial"/>
        </w:rPr>
        <w:t xml:space="preserve">     </w:t>
      </w:r>
      <w:r w:rsidR="00A26DE1" w:rsidRPr="003335F8">
        <w:rPr>
          <w:rFonts w:ascii="Arial" w:hAnsi="Arial" w:cs="Arial"/>
        </w:rPr>
        <w:t xml:space="preserve">The results of these analyses suggest that Australia is making real but significant progress to achieve its plastic recycling goals, but the issue now is not processing </w:t>
      </w:r>
      <w:r w:rsidR="00A26DE1" w:rsidRPr="003335F8">
        <w:rPr>
          <w:rFonts w:ascii="Arial" w:hAnsi="Arial" w:cs="Arial"/>
        </w:rPr>
        <w:lastRenderedPageBreak/>
        <w:t>capacity but demand for recycled plastics. This reframing from the capacity problem to the demand problem directly translates to the barrier analysis presented in RQ2 (section 5.2), on which market and regulatory explanations of the lack of demand are constructed.</w:t>
      </w:r>
    </w:p>
    <w:p w14:paraId="61CB7345" w14:textId="64CC8928" w:rsidR="00A26DE1" w:rsidRPr="003335F8" w:rsidRDefault="009F62CF" w:rsidP="00A26DE1">
      <w:pPr>
        <w:rPr>
          <w:rFonts w:ascii="Arial" w:hAnsi="Arial" w:cs="Arial"/>
        </w:rPr>
      </w:pPr>
      <w:r>
        <w:rPr>
          <w:rFonts w:ascii="Arial" w:hAnsi="Arial" w:cs="Arial"/>
        </w:rPr>
        <w:t xml:space="preserve">     </w:t>
      </w:r>
      <w:r w:rsidR="00A26DE1" w:rsidRPr="003335F8">
        <w:rPr>
          <w:rFonts w:ascii="Arial" w:hAnsi="Arial" w:cs="Arial"/>
        </w:rPr>
        <w:t>There are limitations to this analysis. This data was primarily compiled by government and industry and was not triangulated with data provided by a third party within the scope of this analysis, so the recycling rate and capacity utilization data presented here should not be used to precisely determine the size of the gap but should be viewed as indicative of the scale of the gap.</w:t>
      </w:r>
    </w:p>
    <w:p w14:paraId="5511FBBA" w14:textId="77777777" w:rsidR="00A26DE1" w:rsidRPr="003335F8" w:rsidRDefault="00A26DE1" w:rsidP="00A26DE1">
      <w:pPr>
        <w:rPr>
          <w:rFonts w:ascii="Arial" w:hAnsi="Arial" w:cs="Arial"/>
        </w:rPr>
      </w:pPr>
    </w:p>
    <w:p w14:paraId="2DF2EA5C" w14:textId="36838212" w:rsidR="00A26DE1" w:rsidRPr="003335F8" w:rsidRDefault="00A26DE1" w:rsidP="00A26DE1">
      <w:pPr>
        <w:rPr>
          <w:rFonts w:ascii="Arial" w:hAnsi="Arial" w:cs="Arial"/>
          <w:b/>
          <w:bCs/>
        </w:rPr>
      </w:pPr>
      <w:r w:rsidRPr="003335F8">
        <w:rPr>
          <w:rFonts w:ascii="Arial" w:hAnsi="Arial" w:cs="Arial"/>
          <w:b/>
          <w:bCs/>
        </w:rPr>
        <w:t>5.2 RQ2</w:t>
      </w:r>
    </w:p>
    <w:p w14:paraId="5B159274" w14:textId="77777777" w:rsidR="00A26DE1" w:rsidRPr="003335F8" w:rsidRDefault="00A26DE1" w:rsidP="00A26DE1">
      <w:pPr>
        <w:rPr>
          <w:rFonts w:ascii="Arial" w:hAnsi="Arial" w:cs="Arial"/>
          <w:b/>
          <w:bCs/>
        </w:rPr>
      </w:pPr>
      <w:r w:rsidRPr="003335F8">
        <w:rPr>
          <w:rFonts w:ascii="Arial" w:hAnsi="Arial" w:cs="Arial"/>
          <w:b/>
          <w:bCs/>
        </w:rPr>
        <w:t>5.2.1 Overview of Data</w:t>
      </w:r>
    </w:p>
    <w:p w14:paraId="65A04D78" w14:textId="00561314"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The second research question was explored through an analysis of seven secondary sources including, reports from ACOR, CSIRO and APCO, as well as the reporting by ABC News on the </w:t>
      </w:r>
      <w:proofErr w:type="spellStart"/>
      <w:r w:rsidR="00A26DE1" w:rsidRPr="003335F8">
        <w:rPr>
          <w:rFonts w:ascii="Arial" w:hAnsi="Arial" w:cs="Arial"/>
        </w:rPr>
        <w:t>REDcycle</w:t>
      </w:r>
      <w:proofErr w:type="spellEnd"/>
      <w:r w:rsidR="00A26DE1" w:rsidRPr="003335F8">
        <w:rPr>
          <w:rFonts w:ascii="Arial" w:hAnsi="Arial" w:cs="Arial"/>
        </w:rPr>
        <w:t xml:space="preserve"> failure, the National Plastic Plan 2021 and the inquiry "Drowning in Waste". In total over 3.5 million tonnes of plastic are consumed each year with a recycling rate of just 13% while approximately 84% ends up being landfill disposed (Department of Agriculture, Water and the Environment [DAWE], 2021, p. 2).</w:t>
      </w:r>
    </w:p>
    <w:p w14:paraId="51C8F2EC" w14:textId="77777777" w:rsidR="00A26DE1" w:rsidRPr="003335F8" w:rsidRDefault="00A26DE1" w:rsidP="00A26DE1">
      <w:pPr>
        <w:rPr>
          <w:rFonts w:ascii="Arial" w:hAnsi="Arial" w:cs="Arial"/>
          <w:b/>
          <w:bCs/>
        </w:rPr>
      </w:pPr>
    </w:p>
    <w:p w14:paraId="251C2B04" w14:textId="77777777" w:rsidR="00A26DE1" w:rsidRPr="003335F8" w:rsidRDefault="00A26DE1" w:rsidP="00A26DE1">
      <w:pPr>
        <w:rPr>
          <w:rFonts w:ascii="Arial" w:hAnsi="Arial" w:cs="Arial"/>
          <w:b/>
          <w:bCs/>
        </w:rPr>
      </w:pPr>
      <w:r w:rsidRPr="003335F8">
        <w:rPr>
          <w:rFonts w:ascii="Arial" w:hAnsi="Arial" w:cs="Arial"/>
          <w:b/>
          <w:bCs/>
        </w:rPr>
        <w:t>5.2.2 Theme 1 - Regulation exists at every level of government, but no level enforces it</w:t>
      </w:r>
    </w:p>
    <w:p w14:paraId="44AB05C7" w14:textId="3822AB06"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Although, the National Plastics Plan required that 80% of all grocery items sold in supermarkets display an Australasian Recycling Label as </w:t>
      </w:r>
      <w:proofErr w:type="gramStart"/>
      <w:r w:rsidR="00A26DE1" w:rsidRPr="003335F8">
        <w:rPr>
          <w:rFonts w:ascii="Arial" w:hAnsi="Arial" w:cs="Arial"/>
        </w:rPr>
        <w:t>at</w:t>
      </w:r>
      <w:proofErr w:type="gramEnd"/>
      <w:r w:rsidR="00A26DE1" w:rsidRPr="003335F8">
        <w:rPr>
          <w:rFonts w:ascii="Arial" w:hAnsi="Arial" w:cs="Arial"/>
        </w:rPr>
        <w:t xml:space="preserve"> December 2023; the label's use is reliant upon a voluntary program. In addition, there was only an increase of two to three points regarding the public’s level of familiarity with the label since 2021 (Australian Packaging Covenant Organisation [APCO], 2023, pp. 4, 6) The parliamentary inquiry called the framework a disjointed set of goals (House of Representatives Standing Committee on Climate Change, Energy, Environment and Water, 2024, p. vii).</w:t>
      </w:r>
    </w:p>
    <w:p w14:paraId="70098E83" w14:textId="77777777" w:rsidR="00A26DE1" w:rsidRPr="003335F8" w:rsidRDefault="00A26DE1" w:rsidP="00A26DE1">
      <w:pPr>
        <w:rPr>
          <w:rFonts w:ascii="Arial" w:hAnsi="Arial" w:cs="Arial"/>
          <w:b/>
          <w:bCs/>
        </w:rPr>
      </w:pPr>
    </w:p>
    <w:p w14:paraId="39AD3505" w14:textId="77777777" w:rsidR="00A26DE1" w:rsidRPr="003335F8" w:rsidRDefault="00A26DE1" w:rsidP="00A26DE1">
      <w:pPr>
        <w:rPr>
          <w:rFonts w:ascii="Arial" w:hAnsi="Arial" w:cs="Arial"/>
          <w:b/>
          <w:bCs/>
        </w:rPr>
      </w:pPr>
    </w:p>
    <w:p w14:paraId="44D7DD5A" w14:textId="6E21C793" w:rsidR="00A26DE1" w:rsidRPr="003335F8" w:rsidRDefault="00A26DE1" w:rsidP="00A26DE1">
      <w:pPr>
        <w:rPr>
          <w:rFonts w:ascii="Arial" w:hAnsi="Arial" w:cs="Arial"/>
        </w:rPr>
      </w:pPr>
      <w:r w:rsidRPr="003335F8">
        <w:rPr>
          <w:rFonts w:ascii="Arial" w:hAnsi="Arial" w:cs="Arial"/>
          <w:b/>
          <w:bCs/>
        </w:rPr>
        <w:t>5.2.3 Theme 2 - Plastic is collected at a cost the recycled product cannot recover</w:t>
      </w:r>
      <w:r w:rsidRPr="003335F8">
        <w:rPr>
          <w:rFonts w:ascii="Arial" w:hAnsi="Arial" w:cs="Arial"/>
        </w:rPr>
        <w:br/>
      </w:r>
    </w:p>
    <w:p w14:paraId="2853AC0D" w14:textId="245599E0"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Recycled plastics are competing with lower-cost and more consistent quality virgin materials, therefore there is no increase in demand when an additional amount </w:t>
      </w:r>
      <w:r w:rsidR="00A26DE1" w:rsidRPr="003335F8">
        <w:rPr>
          <w:rFonts w:ascii="Arial" w:hAnsi="Arial" w:cs="Arial"/>
        </w:rPr>
        <w:lastRenderedPageBreak/>
        <w:t xml:space="preserve">of recycled material becomes available (Commonwealth Scientific and Industrial Research Organisation [CSIRO], 2021, p. 50). In addition, the 2021 export ban was meant to keep the material within Australia, however, did not require the producers to purchase their own material back; likewise, the </w:t>
      </w:r>
      <w:proofErr w:type="spellStart"/>
      <w:r w:rsidR="00A26DE1" w:rsidRPr="003335F8">
        <w:rPr>
          <w:rFonts w:ascii="Arial" w:hAnsi="Arial" w:cs="Arial"/>
        </w:rPr>
        <w:t>reprocessors</w:t>
      </w:r>
      <w:proofErr w:type="spellEnd"/>
      <w:r w:rsidR="00A26DE1" w:rsidRPr="003335F8">
        <w:rPr>
          <w:rFonts w:ascii="Arial" w:hAnsi="Arial" w:cs="Arial"/>
        </w:rPr>
        <w:t xml:space="preserve"> noted that there were no end-markets for the reprocessed product rather than a lack of feed stock (ABC News, 2023).</w:t>
      </w:r>
    </w:p>
    <w:p w14:paraId="2CFC26D8" w14:textId="02FCE9C7" w:rsidR="00A26DE1" w:rsidRPr="003335F8" w:rsidRDefault="00A26DE1" w:rsidP="00A26DE1">
      <w:pPr>
        <w:rPr>
          <w:rFonts w:ascii="Arial" w:hAnsi="Arial" w:cs="Arial"/>
        </w:rPr>
      </w:pPr>
    </w:p>
    <w:p w14:paraId="606B082E" w14:textId="77777777" w:rsidR="00A26DE1" w:rsidRPr="003335F8" w:rsidRDefault="00A26DE1" w:rsidP="00A26DE1">
      <w:pPr>
        <w:rPr>
          <w:rFonts w:ascii="Arial" w:hAnsi="Arial" w:cs="Arial"/>
        </w:rPr>
      </w:pPr>
    </w:p>
    <w:p w14:paraId="0525B324" w14:textId="77777777" w:rsidR="00A26DE1" w:rsidRPr="003335F8" w:rsidRDefault="00A26DE1" w:rsidP="00A26DE1">
      <w:pPr>
        <w:rPr>
          <w:rFonts w:ascii="Arial" w:hAnsi="Arial" w:cs="Arial"/>
          <w:b/>
          <w:bCs/>
        </w:rPr>
      </w:pPr>
      <w:r w:rsidRPr="003335F8">
        <w:rPr>
          <w:rFonts w:ascii="Arial" w:hAnsi="Arial" w:cs="Arial"/>
          <w:b/>
          <w:bCs/>
        </w:rPr>
        <w:t>5.2.4 Theme 3 - Collection capacity grew faster than the capacity to process what it collects</w:t>
      </w:r>
    </w:p>
    <w:p w14:paraId="12562B2C" w14:textId="5DCA0CEE"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A single processor has approximately 10,400 tons of soft plastics on hand while processing at a rate of only 120 tons (ABC News, 2023). A bin audit of 238 households showed that only 62 percent of </w:t>
      </w:r>
      <w:proofErr w:type="spellStart"/>
      <w:r w:rsidR="00A26DE1" w:rsidRPr="003335F8">
        <w:rPr>
          <w:rFonts w:ascii="Arial" w:hAnsi="Arial" w:cs="Arial"/>
        </w:rPr>
        <w:t>labeled</w:t>
      </w:r>
      <w:proofErr w:type="spellEnd"/>
      <w:r w:rsidR="00A26DE1" w:rsidRPr="003335F8">
        <w:rPr>
          <w:rFonts w:ascii="Arial" w:hAnsi="Arial" w:cs="Arial"/>
        </w:rPr>
        <w:t xml:space="preserve"> packaging was disposed of according to </w:t>
      </w:r>
      <w:proofErr w:type="spellStart"/>
      <w:r w:rsidR="00A26DE1" w:rsidRPr="003335F8">
        <w:rPr>
          <w:rFonts w:ascii="Arial" w:hAnsi="Arial" w:cs="Arial"/>
        </w:rPr>
        <w:t>labeling</w:t>
      </w:r>
      <w:proofErr w:type="spellEnd"/>
      <w:r w:rsidR="00A26DE1" w:rsidRPr="003335F8">
        <w:rPr>
          <w:rFonts w:ascii="Arial" w:hAnsi="Arial" w:cs="Arial"/>
        </w:rPr>
        <w:t xml:space="preserve"> (APCO, 2023, pp13-14), specifically, both film and soft plastics were completely non-compliant.</w:t>
      </w:r>
    </w:p>
    <w:p w14:paraId="0EC2E837" w14:textId="635B3CA7" w:rsidR="00A26DE1" w:rsidRPr="003335F8" w:rsidRDefault="00A26DE1" w:rsidP="00A26DE1">
      <w:pPr>
        <w:rPr>
          <w:rFonts w:ascii="Arial" w:hAnsi="Arial" w:cs="Arial"/>
          <w:b/>
          <w:bCs/>
        </w:rPr>
      </w:pPr>
      <w:r w:rsidRPr="003335F8">
        <w:rPr>
          <w:rFonts w:ascii="Arial" w:hAnsi="Arial" w:cs="Arial"/>
          <w:b/>
          <w:bCs/>
        </w:rPr>
        <w:t>5.2.5 Theme 4 - Consumers are willing to recycle correctly, but cannot</w:t>
      </w:r>
    </w:p>
    <w:p w14:paraId="6653466B" w14:textId="70F67DFC"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According to APCO eighty one percent of Australian residents searched about recycling in the past six months. Accuracy declines as instruction becomes more complex. For </w:t>
      </w:r>
      <w:proofErr w:type="gramStart"/>
      <w:r w:rsidR="00A26DE1" w:rsidRPr="003335F8">
        <w:rPr>
          <w:rFonts w:ascii="Arial" w:hAnsi="Arial" w:cs="Arial"/>
        </w:rPr>
        <w:t>example</w:t>
      </w:r>
      <w:proofErr w:type="gramEnd"/>
      <w:r w:rsidR="00A26DE1" w:rsidRPr="003335F8">
        <w:rPr>
          <w:rFonts w:ascii="Arial" w:hAnsi="Arial" w:cs="Arial"/>
        </w:rPr>
        <w:t xml:space="preserve"> seventy two percent selected the proper bin for a plastic lid whereas forty percent selected the right bin for a foil lid (APCO, 2023, pp.7, 12). When labels are simple, behaviour changes dramatically, with the disposal of soft plastic wrap into general waste falling from sixty five percent to twenty nine percent (APCO, 2023, p10).</w:t>
      </w:r>
    </w:p>
    <w:p w14:paraId="23C158CE" w14:textId="77777777" w:rsidR="00A26DE1" w:rsidRPr="003335F8" w:rsidRDefault="00A26DE1" w:rsidP="00A26DE1">
      <w:pPr>
        <w:rPr>
          <w:rFonts w:ascii="Arial" w:hAnsi="Arial" w:cs="Arial"/>
          <w:b/>
          <w:bCs/>
        </w:rPr>
      </w:pPr>
      <w:r w:rsidRPr="003335F8">
        <w:rPr>
          <w:rFonts w:ascii="Arial" w:hAnsi="Arial" w:cs="Arial"/>
          <w:b/>
          <w:bCs/>
        </w:rPr>
        <w:t>5.2.6 Discussion - Barriers to Closing the Recycling Gap</w:t>
      </w:r>
    </w:p>
    <w:p w14:paraId="4B7899D2" w14:textId="673D5B7F"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Themes 1 to 3 also fit into the </w:t>
      </w:r>
      <w:proofErr w:type="gramStart"/>
      <w:r w:rsidR="00A26DE1" w:rsidRPr="003335F8">
        <w:rPr>
          <w:rFonts w:ascii="Arial" w:hAnsi="Arial" w:cs="Arial"/>
        </w:rPr>
        <w:t>barriers</w:t>
      </w:r>
      <w:proofErr w:type="gramEnd"/>
      <w:r w:rsidR="00A26DE1" w:rsidRPr="003335F8">
        <w:rPr>
          <w:rFonts w:ascii="Arial" w:hAnsi="Arial" w:cs="Arial"/>
        </w:rPr>
        <w:t xml:space="preserve"> framework established by Kirchherr et al. (2018) and Bening et al. (2021). Theme 1 agrees with Shittu et al. (2024) and Johnson et al. (2025) on fragmentation of </w:t>
      </w:r>
      <w:proofErr w:type="gramStart"/>
      <w:r w:rsidR="00A26DE1" w:rsidRPr="003335F8">
        <w:rPr>
          <w:rFonts w:ascii="Arial" w:hAnsi="Arial" w:cs="Arial"/>
        </w:rPr>
        <w:t>governance, but</w:t>
      </w:r>
      <w:proofErr w:type="gramEnd"/>
      <w:r w:rsidR="00A26DE1" w:rsidRPr="003335F8">
        <w:rPr>
          <w:rFonts w:ascii="Arial" w:hAnsi="Arial" w:cs="Arial"/>
        </w:rPr>
        <w:t xml:space="preserve"> has a limited contradiction in that while Kirchherr et al. (2018) find regulatory barriers are less significant than cultural barriers as evidenced by their single-market findings, rather than nine jurisdictions. In addition, Theme 2 includes the creation of a new mechanism within Australia, a regulatory mechanism creating an economic barrier and Theme 3 provides quantitative measurement of qualitative assertions made in the literature.</w:t>
      </w:r>
    </w:p>
    <w:p w14:paraId="6CB1F5F6" w14:textId="15A0BEB1" w:rsidR="00A26DE1" w:rsidRPr="003335F8" w:rsidRDefault="009F62CF" w:rsidP="00A26DE1">
      <w:pPr>
        <w:rPr>
          <w:rFonts w:ascii="Arial" w:hAnsi="Arial" w:cs="Arial"/>
        </w:rPr>
      </w:pPr>
      <w:r>
        <w:rPr>
          <w:rFonts w:ascii="Arial" w:hAnsi="Arial" w:cs="Arial"/>
        </w:rPr>
        <w:t xml:space="preserve">     </w:t>
      </w:r>
      <w:r w:rsidR="00A26DE1" w:rsidRPr="003335F8">
        <w:rPr>
          <w:rFonts w:ascii="Arial" w:hAnsi="Arial" w:cs="Arial"/>
        </w:rPr>
        <w:t xml:space="preserve">The theme 4 of this research is somewhat inconsistent with the existing body of literature on circular-economy barriers that has traditionally combined mis-sorting with consumer inertia. In fact, the data collected for this study suggest the first but are contrary to the second; as attitudes toward recycling did not diminish after the </w:t>
      </w:r>
      <w:proofErr w:type="spellStart"/>
      <w:r w:rsidR="00A26DE1" w:rsidRPr="003335F8">
        <w:rPr>
          <w:rFonts w:ascii="Arial" w:hAnsi="Arial" w:cs="Arial"/>
        </w:rPr>
        <w:t>REDcycle's</w:t>
      </w:r>
      <w:proofErr w:type="spellEnd"/>
      <w:r w:rsidR="00A26DE1" w:rsidRPr="003335F8">
        <w:rPr>
          <w:rFonts w:ascii="Arial" w:hAnsi="Arial" w:cs="Arial"/>
        </w:rPr>
        <w:t xml:space="preserve"> closing, nearly one third of participants indicated they were likely to participate again in a soft plastic collection program if such an opportunity was available (APCO, 2023, pp.7, 9). Therefore, it appears causality flows from </w:t>
      </w:r>
      <w:r w:rsidR="00A26DE1" w:rsidRPr="003335F8">
        <w:rPr>
          <w:rFonts w:ascii="Arial" w:hAnsi="Arial" w:cs="Arial"/>
        </w:rPr>
        <w:lastRenderedPageBreak/>
        <w:t>regulatory/technical failure at the consumer level rather than at the consumer level itself.</w:t>
      </w:r>
    </w:p>
    <w:p w14:paraId="0235D50F" w14:textId="3878E392" w:rsidR="00A26DE1" w:rsidRPr="003335F8" w:rsidRDefault="009F62CF" w:rsidP="00A26DE1">
      <w:pPr>
        <w:rPr>
          <w:rFonts w:ascii="Arial" w:hAnsi="Arial" w:cs="Arial"/>
        </w:rPr>
      </w:pPr>
      <w:r>
        <w:rPr>
          <w:rFonts w:ascii="Arial" w:hAnsi="Arial" w:cs="Arial"/>
        </w:rPr>
        <w:t xml:space="preserve">     </w:t>
      </w:r>
      <w:r w:rsidR="00A26DE1" w:rsidRPr="003335F8">
        <w:rPr>
          <w:rFonts w:ascii="Arial" w:hAnsi="Arial" w:cs="Arial"/>
        </w:rPr>
        <w:t>There are two major limitations to this work. First, three of the seven reference materials identified are industry associations with an obvious self-interest in claiming that failures of programs are due to regulations. As such, these references were only used when they were independently corroborated. Second, APCO indicated that the audit methodology employed to assess compliance resulted in biases toward non-compliance in certain formats (APCO, 2023, p. 15).</w:t>
      </w:r>
    </w:p>
    <w:p w14:paraId="663B4922" w14:textId="77777777" w:rsidR="00A26DE1" w:rsidRPr="003335F8" w:rsidRDefault="00A26DE1" w:rsidP="00A26DE1">
      <w:pPr>
        <w:rPr>
          <w:rFonts w:ascii="Arial" w:hAnsi="Arial" w:cs="Arial"/>
        </w:rPr>
      </w:pPr>
    </w:p>
    <w:p w14:paraId="0B718F66" w14:textId="77777777" w:rsidR="00A26DE1" w:rsidRPr="003335F8" w:rsidRDefault="00A26DE1" w:rsidP="00A26DE1">
      <w:pPr>
        <w:rPr>
          <w:rFonts w:ascii="Arial" w:hAnsi="Arial" w:cs="Arial"/>
          <w:b/>
          <w:bCs/>
        </w:rPr>
      </w:pPr>
      <w:r w:rsidRPr="003335F8">
        <w:rPr>
          <w:rFonts w:ascii="Arial" w:hAnsi="Arial" w:cs="Arial"/>
          <w:b/>
          <w:bCs/>
        </w:rPr>
        <w:t>5.3 RQ3:</w:t>
      </w:r>
    </w:p>
    <w:p w14:paraId="1E96F1B5" w14:textId="77777777" w:rsidR="00A26DE1" w:rsidRPr="003335F8" w:rsidRDefault="00A26DE1" w:rsidP="00A26DE1">
      <w:pPr>
        <w:rPr>
          <w:rFonts w:ascii="Arial" w:hAnsi="Arial" w:cs="Arial"/>
          <w:b/>
          <w:bCs/>
        </w:rPr>
      </w:pPr>
      <w:r w:rsidRPr="003335F8">
        <w:rPr>
          <w:rFonts w:ascii="Arial" w:hAnsi="Arial" w:cs="Arial"/>
          <w:b/>
          <w:bCs/>
        </w:rPr>
        <w:t>5.3.1 Overview of Data</w:t>
      </w:r>
    </w:p>
    <w:p w14:paraId="1FC36254" w14:textId="5B339A94"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The five secondary sources used to explore the third research question were: Australian National Plastics Plan 2021 (DCCEEW), DCCEEW Australian Plastics Flows and Fates reporting, European Commission's Packaging and Packaging Waste Regulation, Eurostat packaging waste statistics, and OECD Global Plastics Outlook. The sources were chosen to allow a structured cross-jurisdictional comparison of Australia with jurisdictions where a circular economy is well established, namely the European Union, and other parts of the world. Four themes were identified. </w:t>
      </w:r>
    </w:p>
    <w:p w14:paraId="25A0057C" w14:textId="77777777" w:rsidR="00A26DE1" w:rsidRPr="003335F8" w:rsidRDefault="00A26DE1" w:rsidP="00A26DE1">
      <w:pPr>
        <w:rPr>
          <w:rFonts w:ascii="Arial" w:hAnsi="Arial" w:cs="Arial"/>
          <w:b/>
          <w:bCs/>
        </w:rPr>
      </w:pPr>
    </w:p>
    <w:p w14:paraId="06FF3F24" w14:textId="77777777" w:rsidR="00A26DE1" w:rsidRPr="003335F8" w:rsidRDefault="00A26DE1" w:rsidP="00A26DE1">
      <w:pPr>
        <w:rPr>
          <w:rFonts w:ascii="Arial" w:hAnsi="Arial" w:cs="Arial"/>
          <w:b/>
          <w:bCs/>
        </w:rPr>
      </w:pPr>
      <w:r w:rsidRPr="003335F8">
        <w:rPr>
          <w:rFonts w:ascii="Arial" w:hAnsi="Arial" w:cs="Arial"/>
          <w:b/>
          <w:bCs/>
        </w:rPr>
        <w:t>5.3.2 Theme 1 – Voluntary co-regulation is not effective compared to mandatory producer responsibility</w:t>
      </w:r>
    </w:p>
    <w:p w14:paraId="0925FA6F" w14:textId="6F93B04F"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The National Plastics Plan 2021 is a voluntary and co-regulatory approach with the bulk of participation in the packaging targets and recycled content commitments being self-selected by industry. In contrast, the EU's Packaging and Packaging Waste Regulation (PPWR 2025) has a legislative mandate for producers to take responsibility, with the requirement to act on binding commitments for collection, sorting and recycling, including financial penalties for non-compliance. The OECD Global Plastics Outlook also points out that countries that have EPR legislation in place have higher recycling rates than those countries with voluntary EPR schemes.</w:t>
      </w:r>
    </w:p>
    <w:p w14:paraId="11052A33" w14:textId="77777777" w:rsidR="00A26DE1" w:rsidRPr="003335F8" w:rsidRDefault="00A26DE1" w:rsidP="00A26DE1">
      <w:pPr>
        <w:rPr>
          <w:rFonts w:ascii="Arial" w:hAnsi="Arial" w:cs="Arial"/>
        </w:rPr>
      </w:pPr>
    </w:p>
    <w:p w14:paraId="0E30B102" w14:textId="014AF0CF" w:rsidR="00A26DE1" w:rsidRPr="003335F8" w:rsidRDefault="00A26DE1" w:rsidP="00A26DE1">
      <w:pPr>
        <w:rPr>
          <w:rFonts w:ascii="Arial" w:hAnsi="Arial" w:cs="Arial"/>
          <w:b/>
          <w:bCs/>
        </w:rPr>
      </w:pPr>
      <w:r w:rsidRPr="003335F8">
        <w:rPr>
          <w:rFonts w:ascii="Arial" w:hAnsi="Arial" w:cs="Arial"/>
          <w:b/>
          <w:bCs/>
        </w:rPr>
        <w:t>5.3.3 Theme 2 – There is no single EPR model, but design choices are important</w:t>
      </w:r>
    </w:p>
    <w:p w14:paraId="7D036254" w14:textId="4CC0339F"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The data collected by Eurostat and the EU policy documents show that the 25 EU member states with EPR implementations have 38 different features of EPR systems, classified by system scope, the policy's degree of responsibility allocation and the type of instrument. There is no one-size-fits-all approach; successful systems are based on mixes of features that reflect the conditions of national </w:t>
      </w:r>
      <w:r w:rsidR="00A26DE1" w:rsidRPr="003335F8">
        <w:rPr>
          <w:rFonts w:ascii="Arial" w:hAnsi="Arial" w:cs="Arial"/>
        </w:rPr>
        <w:lastRenderedPageBreak/>
        <w:t xml:space="preserve">governance, markets and waste streams. Australia's unique federal system (nine jurisdictions share responsibility at state, territory and Commonwealth level) would require a customized approach for an EPR adoption, rather than simply importing an EU country's solution. </w:t>
      </w:r>
    </w:p>
    <w:p w14:paraId="05E03119" w14:textId="77777777" w:rsidR="00A26DE1" w:rsidRPr="003335F8" w:rsidRDefault="00A26DE1" w:rsidP="00A26DE1">
      <w:pPr>
        <w:rPr>
          <w:rFonts w:ascii="Arial" w:hAnsi="Arial" w:cs="Arial"/>
        </w:rPr>
      </w:pPr>
    </w:p>
    <w:p w14:paraId="04C833DF" w14:textId="77777777" w:rsidR="00A26DE1" w:rsidRPr="003335F8" w:rsidRDefault="00A26DE1" w:rsidP="00A26DE1">
      <w:pPr>
        <w:rPr>
          <w:rFonts w:ascii="Arial" w:hAnsi="Arial" w:cs="Arial"/>
          <w:b/>
          <w:bCs/>
        </w:rPr>
      </w:pPr>
      <w:r w:rsidRPr="003335F8">
        <w:rPr>
          <w:rFonts w:ascii="Arial" w:hAnsi="Arial" w:cs="Arial"/>
          <w:b/>
          <w:bCs/>
        </w:rPr>
        <w:t>5.3.4 Theme 3 – Quality and end-market demand are as important as collection volumes</w:t>
      </w:r>
    </w:p>
    <w:p w14:paraId="0F7AB6CD" w14:textId="6B0583F1"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Both Eurostat reporting and the EU PPWR (2025) indicate that top jurisdictions require minimum recycled content for packaging and require design-for-recyclability at the point of production. These stipulations ensure a guaranteed market for recycled material and confirm to </w:t>
      </w:r>
      <w:proofErr w:type="spellStart"/>
      <w:r w:rsidR="00A26DE1" w:rsidRPr="003335F8">
        <w:rPr>
          <w:rFonts w:ascii="Arial" w:hAnsi="Arial" w:cs="Arial"/>
        </w:rPr>
        <w:t>reprocessors</w:t>
      </w:r>
      <w:proofErr w:type="spellEnd"/>
      <w:r w:rsidR="00A26DE1" w:rsidRPr="003335F8">
        <w:rPr>
          <w:rFonts w:ascii="Arial" w:hAnsi="Arial" w:cs="Arial"/>
        </w:rPr>
        <w:t xml:space="preserve"> that they have a certain level of investment confidence. Australia does not currently have recycled content targets or design standards, and even if there is a collection program in place, the market demand for recycled plastics is still weak and uncertain. </w:t>
      </w:r>
    </w:p>
    <w:p w14:paraId="71C38034" w14:textId="77777777" w:rsidR="00A26DE1" w:rsidRPr="003335F8" w:rsidRDefault="00A26DE1" w:rsidP="00A26DE1">
      <w:pPr>
        <w:rPr>
          <w:rFonts w:ascii="Arial" w:hAnsi="Arial" w:cs="Arial"/>
        </w:rPr>
      </w:pPr>
    </w:p>
    <w:p w14:paraId="741A51C2" w14:textId="77777777" w:rsidR="00A26DE1" w:rsidRPr="003335F8" w:rsidRDefault="00A26DE1" w:rsidP="00A26DE1">
      <w:pPr>
        <w:rPr>
          <w:rFonts w:ascii="Arial" w:hAnsi="Arial" w:cs="Arial"/>
          <w:b/>
          <w:bCs/>
        </w:rPr>
      </w:pPr>
      <w:r w:rsidRPr="003335F8">
        <w:rPr>
          <w:rFonts w:ascii="Arial" w:hAnsi="Arial" w:cs="Arial"/>
          <w:b/>
          <w:bCs/>
        </w:rPr>
        <w:t>5.3.5 theme 4 is mandatory EPR that moves the costs from public to producer</w:t>
      </w:r>
    </w:p>
    <w:p w14:paraId="30BF7DE2" w14:textId="17BEFA63"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In the EU member states the EPR schemes are applied in a manner which means that producers pay for the real cost of collecting, sorting and recycling their packaging themselves. Australian producers currently pay for about 10 per cent of the total cost of managing their </w:t>
      </w:r>
      <w:proofErr w:type="gramStart"/>
      <w:r w:rsidR="00A26DE1" w:rsidRPr="003335F8">
        <w:rPr>
          <w:rFonts w:ascii="Arial" w:hAnsi="Arial" w:cs="Arial"/>
        </w:rPr>
        <w:t>end of life</w:t>
      </w:r>
      <w:proofErr w:type="gramEnd"/>
      <w:r w:rsidR="00A26DE1" w:rsidRPr="003335F8">
        <w:rPr>
          <w:rFonts w:ascii="Arial" w:hAnsi="Arial" w:cs="Arial"/>
        </w:rPr>
        <w:t xml:space="preserve"> packaging waste with the rest paid by local councils and taxpayers. EU structures turn this ratio upside down: they finance infrastructure expansion via producer fees instead of public budgets.</w:t>
      </w:r>
    </w:p>
    <w:p w14:paraId="3D4D0B10" w14:textId="77777777" w:rsidR="00A26DE1" w:rsidRPr="003335F8" w:rsidRDefault="00A26DE1" w:rsidP="00A26DE1">
      <w:pPr>
        <w:rPr>
          <w:rFonts w:ascii="Arial" w:hAnsi="Arial" w:cs="Arial"/>
        </w:rPr>
      </w:pPr>
    </w:p>
    <w:p w14:paraId="4FAE34FC" w14:textId="77D1FA7F" w:rsidR="00A26DE1" w:rsidRPr="003335F8" w:rsidRDefault="00A26DE1" w:rsidP="00A26DE1">
      <w:pPr>
        <w:rPr>
          <w:rFonts w:ascii="Arial" w:hAnsi="Arial" w:cs="Arial"/>
          <w:b/>
          <w:bCs/>
        </w:rPr>
      </w:pPr>
      <w:r w:rsidRPr="003335F8">
        <w:rPr>
          <w:rFonts w:ascii="Arial" w:hAnsi="Arial" w:cs="Arial"/>
          <w:b/>
          <w:bCs/>
        </w:rPr>
        <w:t>5.3.6 Discussion – A Governance Design Problem, not a Technical One</w:t>
      </w:r>
    </w:p>
    <w:p w14:paraId="69338F05" w14:textId="6C121870"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Themes 1 &amp; 2 align with Johnson et al. (2025) who say that Australia's plastic packaging regulation hasn't changed significantly for more than 20 years, and that there is strong support from stakeholders for the need for mandatory packaging reform (such as binding EPR &amp; design rules), but disagreement over how this should be done is holding progress back. This is extended in this finding by proposing specific elements that are missing from the current framework: producer accountability linked to financial obligation, and an enforceable recycled content mandate.</w:t>
      </w:r>
    </w:p>
    <w:p w14:paraId="7A02AD19" w14:textId="77777777" w:rsidR="00A26DE1" w:rsidRPr="003335F8" w:rsidRDefault="00A26DE1" w:rsidP="00A26DE1">
      <w:pPr>
        <w:rPr>
          <w:rFonts w:ascii="Arial" w:hAnsi="Arial" w:cs="Arial"/>
        </w:rPr>
      </w:pPr>
    </w:p>
    <w:p w14:paraId="10536C86" w14:textId="482436FB"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Theme 2 also aligns with Pruess (2023) who notes, in turn, that there is no one best EPR model and that 'first-mover' and 'geographic proximity' effects influence policy transfer between jurisdictions. This has direct relevance to Australia's reform pathway: instead of copying wholesale from another country, the key points of scope, financial responsibility and compulsory targets would have to be blended in a </w:t>
      </w:r>
      <w:r w:rsidR="00A26DE1" w:rsidRPr="003335F8">
        <w:rPr>
          <w:rFonts w:ascii="Arial" w:hAnsi="Arial" w:cs="Arial"/>
        </w:rPr>
        <w:lastRenderedPageBreak/>
        <w:t xml:space="preserve">manner that would suit the unique federal governance framework that does not exist in the </w:t>
      </w:r>
      <w:proofErr w:type="spellStart"/>
      <w:r w:rsidR="00A26DE1" w:rsidRPr="003335F8">
        <w:rPr>
          <w:rFonts w:ascii="Arial" w:hAnsi="Arial" w:cs="Arial"/>
        </w:rPr>
        <w:t>EU.The</w:t>
      </w:r>
      <w:proofErr w:type="spellEnd"/>
      <w:r w:rsidR="00A26DE1" w:rsidRPr="003335F8">
        <w:rPr>
          <w:rFonts w:ascii="Arial" w:hAnsi="Arial" w:cs="Arial"/>
        </w:rPr>
        <w:t xml:space="preserve"> recycling performance of the market depends on collection volume, material quality, contamination management, recycling technology and end markets, as suggested by Theme 3 which is based on </w:t>
      </w:r>
      <w:proofErr w:type="spellStart"/>
      <w:r w:rsidR="00A26DE1" w:rsidRPr="003335F8">
        <w:rPr>
          <w:rFonts w:ascii="Arial" w:hAnsi="Arial" w:cs="Arial"/>
        </w:rPr>
        <w:t>Hahladakis</w:t>
      </w:r>
      <w:proofErr w:type="spellEnd"/>
      <w:r w:rsidR="00A26DE1" w:rsidRPr="003335F8">
        <w:rPr>
          <w:rFonts w:ascii="Arial" w:hAnsi="Arial" w:cs="Arial"/>
        </w:rPr>
        <w:t xml:space="preserve"> and </w:t>
      </w:r>
      <w:proofErr w:type="spellStart"/>
      <w:r w:rsidR="00A26DE1" w:rsidRPr="003335F8">
        <w:rPr>
          <w:rFonts w:ascii="Arial" w:hAnsi="Arial" w:cs="Arial"/>
        </w:rPr>
        <w:t>Iacovidou</w:t>
      </w:r>
      <w:proofErr w:type="spellEnd"/>
      <w:r w:rsidR="00A26DE1" w:rsidRPr="003335F8">
        <w:rPr>
          <w:rFonts w:ascii="Arial" w:hAnsi="Arial" w:cs="Arial"/>
        </w:rPr>
        <w:t xml:space="preserve"> (2018). Australia does not, structurally, have the demand side incentive to reuse materials that EU frameworks provide, due to the lack of mandatory design standards or recycled content requirements, which further supports the findings in RQ1 that the underperformance in Australia is not because it is more of a collection issue.</w:t>
      </w:r>
    </w:p>
    <w:p w14:paraId="6B77073A" w14:textId="49A224EE"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The findings of Bassi et al. (2020) support Theme 4: They conclude that mandatory EPR gives the producer incentives to eco-design, and it also will result in lower public expenditure on waste management, which will have a positive impact on the environment and on the economy. This imbalance is quantified in Australia, producers are only responsible for around 10 per cent of end-of-life costs, so there's not enough financial pressure being placed on the supply side to incentivise investment in recyclability or recycled content, it's structural, rather than behavioural or technical.</w:t>
      </w:r>
    </w:p>
    <w:p w14:paraId="505D1EE6" w14:textId="77777777" w:rsidR="00A26DE1" w:rsidRPr="003335F8" w:rsidRDefault="00A26DE1" w:rsidP="00A26DE1">
      <w:pPr>
        <w:rPr>
          <w:rFonts w:ascii="Arial" w:hAnsi="Arial" w:cs="Arial"/>
        </w:rPr>
      </w:pPr>
    </w:p>
    <w:p w14:paraId="1F774DE0" w14:textId="1C84642D" w:rsidR="00A26DE1" w:rsidRPr="003335F8" w:rsidRDefault="00A26DE1" w:rsidP="00A26DE1">
      <w:pPr>
        <w:rPr>
          <w:rFonts w:ascii="Arial" w:hAnsi="Arial" w:cs="Arial"/>
          <w:b/>
          <w:bCs/>
          <w:sz w:val="28"/>
          <w:szCs w:val="28"/>
        </w:rPr>
      </w:pPr>
      <w:r w:rsidRPr="003335F8">
        <w:rPr>
          <w:rFonts w:ascii="Arial" w:hAnsi="Arial" w:cs="Arial"/>
          <w:b/>
          <w:bCs/>
          <w:sz w:val="28"/>
          <w:szCs w:val="28"/>
        </w:rPr>
        <w:t xml:space="preserve">6. Recommendations </w:t>
      </w:r>
      <w:r w:rsidR="000B5DB6" w:rsidRPr="003335F8">
        <w:rPr>
          <w:rFonts w:ascii="Arial" w:hAnsi="Arial" w:cs="Arial"/>
          <w:b/>
          <w:bCs/>
          <w:sz w:val="28"/>
          <w:szCs w:val="28"/>
        </w:rPr>
        <w:br/>
      </w:r>
    </w:p>
    <w:p w14:paraId="3EF34891" w14:textId="77777777" w:rsidR="00A26DE1" w:rsidRPr="003335F8" w:rsidRDefault="00A26DE1" w:rsidP="00A26DE1">
      <w:pPr>
        <w:rPr>
          <w:rFonts w:ascii="Arial" w:hAnsi="Arial" w:cs="Arial"/>
          <w:b/>
          <w:bCs/>
        </w:rPr>
      </w:pPr>
      <w:r w:rsidRPr="003335F8">
        <w:rPr>
          <w:rFonts w:ascii="Arial" w:hAnsi="Arial" w:cs="Arial"/>
          <w:b/>
          <w:bCs/>
        </w:rPr>
        <w:t xml:space="preserve">6.1 Recommendation RQ1 - Legislating EPR to Close the Progress Gap </w:t>
      </w:r>
    </w:p>
    <w:p w14:paraId="1633B360" w14:textId="1D599214"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Addressing the root of the recycling shortfall, along with its downstream demand needs, requires a combination of efforts that include legislation introducing mandatory, nationally consistent EPR (with binding timelines and penalties), recycled content minimums for packaging, and policy measures to favour recycled content in government procurement, these three aspects represent three separate issues that cannot be solved </w:t>
      </w:r>
      <w:proofErr w:type="spellStart"/>
      <w:r w:rsidR="00A26DE1" w:rsidRPr="003335F8">
        <w:rPr>
          <w:rFonts w:ascii="Arial" w:hAnsi="Arial" w:cs="Arial"/>
        </w:rPr>
        <w:t>isolatedly</w:t>
      </w:r>
      <w:proofErr w:type="spellEnd"/>
      <w:r w:rsidR="00A26DE1" w:rsidRPr="003335F8">
        <w:rPr>
          <w:rFonts w:ascii="Arial" w:hAnsi="Arial" w:cs="Arial"/>
        </w:rPr>
        <w:t xml:space="preserve"> and will help to close the recycling shortfall if they are implemented together.</w:t>
      </w:r>
    </w:p>
    <w:p w14:paraId="58753567" w14:textId="77777777" w:rsidR="00A26DE1" w:rsidRPr="003335F8" w:rsidRDefault="00A26DE1" w:rsidP="00A26DE1">
      <w:pPr>
        <w:rPr>
          <w:rFonts w:ascii="Arial" w:hAnsi="Arial" w:cs="Arial"/>
        </w:rPr>
      </w:pPr>
    </w:p>
    <w:p w14:paraId="238E8DDB" w14:textId="77777777" w:rsidR="00A26DE1" w:rsidRPr="003335F8" w:rsidRDefault="00A26DE1" w:rsidP="00A26DE1">
      <w:pPr>
        <w:rPr>
          <w:rFonts w:ascii="Arial" w:hAnsi="Arial" w:cs="Arial"/>
        </w:rPr>
      </w:pPr>
    </w:p>
    <w:p w14:paraId="2EE4D171" w14:textId="77777777" w:rsidR="00A26DE1" w:rsidRPr="003335F8" w:rsidRDefault="00A26DE1" w:rsidP="00A26DE1">
      <w:pPr>
        <w:rPr>
          <w:rFonts w:ascii="Arial" w:hAnsi="Arial" w:cs="Arial"/>
          <w:b/>
          <w:bCs/>
        </w:rPr>
      </w:pPr>
      <w:r w:rsidRPr="003335F8">
        <w:rPr>
          <w:rFonts w:ascii="Arial" w:hAnsi="Arial" w:cs="Arial"/>
          <w:b/>
          <w:bCs/>
        </w:rPr>
        <w:t>6.2 Recommendation RQ2 - Make the packaging framework mandatory and nationally consistent</w:t>
      </w:r>
    </w:p>
    <w:p w14:paraId="1B43AF73" w14:textId="6B49B768"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The National Plastics Plan established a goal for 80 per cent labelling coverage by December 2023 but had no enforcement mechanism to ensure it was achieved, because delivery came via a voluntary programme and awareness increased by just two to three percentage points. Targets that producers can choose to meet will need to be replaced with obligations that are binding across all states and territories. Those obligations would include providing standardised, simple disposal instructions, and requiring producers to take back the material that the 2021 export ban held </w:t>
      </w:r>
      <w:r w:rsidR="00A26DE1" w:rsidRPr="003335F8">
        <w:rPr>
          <w:rFonts w:ascii="Arial" w:hAnsi="Arial" w:cs="Arial"/>
        </w:rPr>
        <w:lastRenderedPageBreak/>
        <w:t>onshore without creating any buyer for it. Because regulation is what starts the loop, intervening only at labelling or at processing capacity will leave intact the circumstances that produced the failure.</w:t>
      </w:r>
    </w:p>
    <w:p w14:paraId="0EAE88A0" w14:textId="77777777" w:rsidR="00A26DE1" w:rsidRPr="003335F8" w:rsidRDefault="00A26DE1" w:rsidP="00A26DE1">
      <w:pPr>
        <w:rPr>
          <w:rFonts w:ascii="Arial" w:hAnsi="Arial" w:cs="Arial"/>
          <w:b/>
          <w:bCs/>
        </w:rPr>
      </w:pPr>
    </w:p>
    <w:p w14:paraId="58BC1E4B" w14:textId="77777777" w:rsidR="00A26DE1" w:rsidRPr="003335F8" w:rsidRDefault="00A26DE1" w:rsidP="00A26DE1">
      <w:pPr>
        <w:rPr>
          <w:rFonts w:ascii="Arial" w:hAnsi="Arial" w:cs="Arial"/>
          <w:b/>
          <w:bCs/>
        </w:rPr>
      </w:pPr>
      <w:r w:rsidRPr="003335F8">
        <w:rPr>
          <w:rFonts w:ascii="Arial" w:hAnsi="Arial" w:cs="Arial"/>
          <w:b/>
          <w:bCs/>
        </w:rPr>
        <w:t>6.3 Recommendation RQ3 - Adopt a hybrid EPR model drawn from EU design features</w:t>
      </w:r>
    </w:p>
    <w:p w14:paraId="43E2F79E" w14:textId="2F263962"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Addressing the nation's recycling deficit will only be achieved by legislation that introduces a mandatory EPR scheme, with the financial responsibility for the end of life placed on producers; includes minimum recycled content requirements, which are binding and mandates design-for-recycling standards all of which voluntary co-regulation has been unable to trigger. If the scheme was implemented without a model from any one country, it would be more responsive to the federal governance system in Australia and would give the producer accountability and end-market demand signals that the National Plastics Plan has never provided.</w:t>
      </w:r>
    </w:p>
    <w:p w14:paraId="7542301A" w14:textId="77777777" w:rsidR="00A26DE1" w:rsidRPr="003335F8" w:rsidRDefault="00A26DE1" w:rsidP="00A26DE1">
      <w:pPr>
        <w:rPr>
          <w:rFonts w:ascii="Arial" w:hAnsi="Arial" w:cs="Arial"/>
        </w:rPr>
      </w:pPr>
    </w:p>
    <w:p w14:paraId="073C4F22" w14:textId="77777777" w:rsidR="00A26DE1" w:rsidRPr="003335F8" w:rsidRDefault="00A26DE1" w:rsidP="00A26DE1">
      <w:pPr>
        <w:rPr>
          <w:rFonts w:ascii="Arial" w:hAnsi="Arial" w:cs="Arial"/>
          <w:sz w:val="28"/>
          <w:szCs w:val="28"/>
        </w:rPr>
      </w:pPr>
    </w:p>
    <w:p w14:paraId="2FB47E3B" w14:textId="77777777" w:rsidR="00A26DE1" w:rsidRPr="003335F8" w:rsidRDefault="00A26DE1" w:rsidP="00A26DE1">
      <w:pPr>
        <w:rPr>
          <w:rFonts w:ascii="Arial" w:hAnsi="Arial" w:cs="Arial"/>
          <w:b/>
          <w:bCs/>
          <w:sz w:val="28"/>
          <w:szCs w:val="28"/>
        </w:rPr>
      </w:pPr>
      <w:r w:rsidRPr="003335F8">
        <w:rPr>
          <w:rFonts w:ascii="Arial" w:hAnsi="Arial" w:cs="Arial"/>
          <w:b/>
          <w:bCs/>
          <w:sz w:val="28"/>
          <w:szCs w:val="28"/>
        </w:rPr>
        <w:t>7. Conclusions</w:t>
      </w:r>
    </w:p>
    <w:p w14:paraId="3A5B5DB9" w14:textId="68BC8E9A" w:rsidR="00A26DE1" w:rsidRPr="003335F8" w:rsidRDefault="003B738A" w:rsidP="00A26DE1">
      <w:pPr>
        <w:rPr>
          <w:rFonts w:ascii="Arial" w:hAnsi="Arial" w:cs="Arial"/>
        </w:rPr>
      </w:pPr>
      <w:r>
        <w:rPr>
          <w:rFonts w:ascii="Arial" w:hAnsi="Arial" w:cs="Arial"/>
        </w:rPr>
        <w:t xml:space="preserve">     </w:t>
      </w:r>
      <w:r w:rsidR="00A26DE1" w:rsidRPr="003335F8">
        <w:rPr>
          <w:rFonts w:ascii="Arial" w:hAnsi="Arial" w:cs="Arial"/>
        </w:rPr>
        <w:t xml:space="preserve">The aim of this study was to determine the level of progress towards the national plastic recycling targets, the reasons why Australia's progress has been limited, and how other jurisdictions are different. For all three questions, the answer is the same: Australia's recycling rate for plastic products is about 13 percent, and this is not primarily because of any technical or consumer issues. Presently only about half of the processing capacity is being used due to weak demand for recycled material and four reinforcing barriers: weak and poorly enforced regulation, cheaper virgin plastic in the market, collection rates higher than processing, and consumers willing to use recycled plastic but unable to do so due to inconsistent </w:t>
      </w:r>
      <w:proofErr w:type="spellStart"/>
      <w:r w:rsidR="00A26DE1" w:rsidRPr="003335F8">
        <w:rPr>
          <w:rFonts w:ascii="Arial" w:hAnsi="Arial" w:cs="Arial"/>
        </w:rPr>
        <w:t>labeling</w:t>
      </w:r>
      <w:proofErr w:type="spellEnd"/>
      <w:r w:rsidR="00A26DE1" w:rsidRPr="003335F8">
        <w:rPr>
          <w:rFonts w:ascii="Arial" w:hAnsi="Arial" w:cs="Arial"/>
        </w:rPr>
        <w:t>. It is evident what is lacking when comparing the Australian voluntary scheme with the EU: producer responsibility, recycled content requirements, and design-for-recyclability, all of which are absent from the Australian scheme.</w:t>
      </w:r>
    </w:p>
    <w:p w14:paraId="5E275633" w14:textId="77777777" w:rsidR="00A26DE1" w:rsidRPr="003335F8" w:rsidRDefault="00A26DE1" w:rsidP="00A26DE1">
      <w:pPr>
        <w:rPr>
          <w:rFonts w:ascii="Arial" w:hAnsi="Arial" w:cs="Arial"/>
        </w:rPr>
      </w:pPr>
      <w:r w:rsidRPr="003335F8">
        <w:rPr>
          <w:rFonts w:ascii="Arial" w:hAnsi="Arial" w:cs="Arial"/>
        </w:rPr>
        <w:t>Combined, the results above indicate that the issue with recycling in Australia is not a lack of infrastructure, technology, or public willingness to recycle; it is a governance design issue. It will be based on the application of a uniform, national EPR scheme rather than one state or territory's EPR scheme and will be achieved through a combination of fewer resources being used for the collection and processing of products and additional investment in EPR laws and policies in Australia, rather than overseas.</w:t>
      </w:r>
    </w:p>
    <w:p w14:paraId="76FDA9B6" w14:textId="5CC92FF9" w:rsidR="00A26DE1" w:rsidRPr="003335F8" w:rsidRDefault="00BF65B3" w:rsidP="00A26DE1">
      <w:pPr>
        <w:rPr>
          <w:rFonts w:ascii="Arial" w:hAnsi="Arial" w:cs="Arial"/>
          <w:b/>
          <w:bCs/>
        </w:rPr>
      </w:pPr>
      <w:r>
        <w:rPr>
          <w:rFonts w:ascii="Arial" w:hAnsi="Arial" w:cs="Arial"/>
          <w:b/>
          <w:bCs/>
        </w:rPr>
        <w:br/>
      </w:r>
    </w:p>
    <w:p w14:paraId="7C649969" w14:textId="720B2BD2" w:rsidR="00A26DE1" w:rsidRPr="003335F8" w:rsidRDefault="000B5DB6" w:rsidP="00A26DE1">
      <w:pPr>
        <w:rPr>
          <w:rFonts w:ascii="Arial" w:hAnsi="Arial" w:cs="Arial"/>
          <w:b/>
          <w:bCs/>
          <w:sz w:val="28"/>
          <w:szCs w:val="28"/>
        </w:rPr>
      </w:pPr>
      <w:r w:rsidRPr="003335F8">
        <w:rPr>
          <w:rFonts w:ascii="Arial" w:hAnsi="Arial" w:cs="Arial"/>
          <w:b/>
          <w:bCs/>
          <w:sz w:val="28"/>
          <w:szCs w:val="28"/>
        </w:rPr>
        <w:lastRenderedPageBreak/>
        <w:t xml:space="preserve">8. </w:t>
      </w:r>
      <w:r w:rsidR="00A26DE1" w:rsidRPr="003335F8">
        <w:rPr>
          <w:rFonts w:ascii="Arial" w:hAnsi="Arial" w:cs="Arial"/>
          <w:b/>
          <w:bCs/>
          <w:sz w:val="28"/>
          <w:szCs w:val="28"/>
        </w:rPr>
        <w:t>References</w:t>
      </w:r>
    </w:p>
    <w:p w14:paraId="4BCBBE76" w14:textId="77777777" w:rsidR="00A26DE1" w:rsidRPr="003335F8" w:rsidRDefault="00A26DE1" w:rsidP="00A26DE1">
      <w:pPr>
        <w:rPr>
          <w:rFonts w:ascii="Arial" w:hAnsi="Arial" w:cs="Arial"/>
        </w:rPr>
      </w:pPr>
    </w:p>
    <w:p w14:paraId="6256A39C" w14:textId="34C3987F"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ABC News. (2023, November 30). One year on from </w:t>
      </w:r>
      <w:proofErr w:type="spellStart"/>
      <w:r w:rsidR="00A26DE1" w:rsidRPr="003335F8">
        <w:rPr>
          <w:rFonts w:ascii="Arial" w:hAnsi="Arial" w:cs="Arial"/>
        </w:rPr>
        <w:t>REDcycle's</w:t>
      </w:r>
      <w:proofErr w:type="spellEnd"/>
      <w:r w:rsidR="00A26DE1" w:rsidRPr="003335F8">
        <w:rPr>
          <w:rFonts w:ascii="Arial" w:hAnsi="Arial" w:cs="Arial"/>
        </w:rPr>
        <w:t xml:space="preserve"> collapse, Australia remains without a soft plastics recycling program. </w:t>
      </w:r>
      <w:hyperlink r:id="rId51" w:history="1">
        <w:r w:rsidR="00A26DE1" w:rsidRPr="003335F8">
          <w:rPr>
            <w:rStyle w:val="Hyperlink"/>
            <w:rFonts w:ascii="Arial" w:hAnsi="Arial" w:cs="Arial"/>
          </w:rPr>
          <w:t>https://www.abc.net.au/news/2023-11-30/redcycle-soft-plastics-recycling-update/103135156</w:t>
        </w:r>
      </w:hyperlink>
    </w:p>
    <w:p w14:paraId="23EEA17C" w14:textId="77777777" w:rsidR="00A26DE1" w:rsidRPr="003335F8" w:rsidRDefault="00A26DE1" w:rsidP="00A26DE1">
      <w:pPr>
        <w:rPr>
          <w:rFonts w:ascii="Arial" w:hAnsi="Arial" w:cs="Arial"/>
        </w:rPr>
      </w:pPr>
    </w:p>
    <w:p w14:paraId="14B5D5B6" w14:textId="142728C6"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Australian Council of Recycling. (2024). Plastic recycling and regulations in Australia. </w:t>
      </w:r>
      <w:hyperlink r:id="rId52" w:history="1">
        <w:r w:rsidR="00943C80" w:rsidRPr="003335F8">
          <w:rPr>
            <w:rStyle w:val="Hyperlink"/>
            <w:rFonts w:ascii="Arial" w:hAnsi="Arial" w:cs="Arial"/>
          </w:rPr>
          <w:t>https://acor.org.au/wp-content/uploads/2024/11/241122-ACOR-Plastic-recycling-and-regulations-in-Australia.pdf</w:t>
        </w:r>
      </w:hyperlink>
    </w:p>
    <w:p w14:paraId="53C3E978" w14:textId="3D53E023" w:rsidR="00A26DE1" w:rsidRPr="003335F8" w:rsidRDefault="00BF65B3" w:rsidP="00A26DE1">
      <w:pPr>
        <w:rPr>
          <w:rFonts w:ascii="Arial" w:hAnsi="Arial" w:cs="Arial"/>
        </w:rPr>
      </w:pPr>
      <w:r>
        <w:rPr>
          <w:rFonts w:ascii="Arial" w:hAnsi="Arial" w:cs="Arial"/>
        </w:rPr>
        <w:t xml:space="preserve"> </w:t>
      </w:r>
    </w:p>
    <w:p w14:paraId="1DE07304" w14:textId="03EA3684"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Australian Packaging Covenant Organisation. (2023). Australasian Recycling Label impact framework report 2023 (Version 1). </w:t>
      </w:r>
      <w:hyperlink r:id="rId53" w:history="1">
        <w:r w:rsidR="00943C80" w:rsidRPr="003335F8">
          <w:rPr>
            <w:rStyle w:val="Hyperlink"/>
            <w:rFonts w:ascii="Arial" w:hAnsi="Arial" w:cs="Arial"/>
          </w:rPr>
          <w:t>https://documents.packagingcovenant.org.au/public-documents/ARL%20Impact%20Framework%20Report%202023</w:t>
        </w:r>
      </w:hyperlink>
    </w:p>
    <w:p w14:paraId="640EADD9" w14:textId="77777777" w:rsidR="00A26DE1" w:rsidRPr="003335F8" w:rsidRDefault="00A26DE1" w:rsidP="00A26DE1">
      <w:pPr>
        <w:rPr>
          <w:rFonts w:ascii="Arial" w:hAnsi="Arial" w:cs="Arial"/>
        </w:rPr>
      </w:pPr>
    </w:p>
    <w:p w14:paraId="223053B2" w14:textId="1CCCB8B6"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Australian Packaging Covenant Organisation, &amp; Australian Council of Recycling. (2025, September 23). Advancing Plastics Recycling in Australia (APRA) project [Media release]. </w:t>
      </w:r>
      <w:hyperlink r:id="rId54" w:history="1">
        <w:r w:rsidR="00943C80" w:rsidRPr="003335F8">
          <w:rPr>
            <w:rStyle w:val="Hyperlink"/>
            <w:rFonts w:ascii="Arial" w:hAnsi="Arial" w:cs="Arial"/>
          </w:rPr>
          <w:t>https://apco.org.au/news/20YOl00000T9FYcMAN</w:t>
        </w:r>
      </w:hyperlink>
    </w:p>
    <w:p w14:paraId="0A4A8528" w14:textId="77777777" w:rsidR="00943C80" w:rsidRPr="003335F8" w:rsidRDefault="00943C80" w:rsidP="00A26DE1">
      <w:pPr>
        <w:rPr>
          <w:rFonts w:ascii="Arial" w:hAnsi="Arial" w:cs="Arial"/>
        </w:rPr>
      </w:pPr>
    </w:p>
    <w:p w14:paraId="3307A2CA" w14:textId="7A8A7524"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Bassi, S. A., Boldrin, A., Faraca, G., &amp; Astrup, T. F. (2020). Extended producer responsibility: </w:t>
      </w:r>
      <w:proofErr w:type="gramStart"/>
      <w:r w:rsidR="00A26DE1" w:rsidRPr="003335F8">
        <w:rPr>
          <w:rFonts w:ascii="Arial" w:hAnsi="Arial" w:cs="Arial"/>
        </w:rPr>
        <w:t>How  to</w:t>
      </w:r>
      <w:proofErr w:type="gramEnd"/>
      <w:r w:rsidR="00A26DE1" w:rsidRPr="003335F8">
        <w:rPr>
          <w:rFonts w:ascii="Arial" w:hAnsi="Arial" w:cs="Arial"/>
        </w:rPr>
        <w:t xml:space="preserve"> unlock the environmental and economic potential of plastic packaging waste? Resources, Conservation and Recycling, 162, 105030. </w:t>
      </w:r>
      <w:hyperlink r:id="rId55" w:history="1">
        <w:r w:rsidR="00943C80" w:rsidRPr="003335F8">
          <w:rPr>
            <w:rStyle w:val="Hyperlink"/>
            <w:rFonts w:ascii="Arial" w:hAnsi="Arial" w:cs="Arial"/>
          </w:rPr>
          <w:t>https://doi.org/10.1016/j.resconrec.2020.105030</w:t>
        </w:r>
      </w:hyperlink>
      <w:r w:rsidR="00A26DE1" w:rsidRPr="003335F8">
        <w:rPr>
          <w:rFonts w:ascii="Arial" w:hAnsi="Arial" w:cs="Arial"/>
        </w:rPr>
        <w:t xml:space="preserve"> </w:t>
      </w:r>
    </w:p>
    <w:p w14:paraId="4E187B4B" w14:textId="77777777" w:rsidR="00943C80" w:rsidRPr="003335F8" w:rsidRDefault="00943C80" w:rsidP="00A26DE1">
      <w:pPr>
        <w:rPr>
          <w:rFonts w:ascii="Arial" w:hAnsi="Arial" w:cs="Arial"/>
        </w:rPr>
      </w:pPr>
    </w:p>
    <w:p w14:paraId="46FCF207" w14:textId="43E9E7F5"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Bening, C. R., Pruess, J. T., &amp; Blum, N. U. (2021). Towards a circular plastics economy: Interacting barriers and contested solutions for flexible packaging recycling. Journal of Cleaner Production, 302, Article 126966. </w:t>
      </w:r>
      <w:hyperlink r:id="rId56" w:history="1">
        <w:r w:rsidR="00943C80" w:rsidRPr="003335F8">
          <w:rPr>
            <w:rStyle w:val="Hyperlink"/>
            <w:rFonts w:ascii="Arial" w:hAnsi="Arial" w:cs="Arial"/>
          </w:rPr>
          <w:t>https://doi.org/10.1016/j.jclepro.2021.126966</w:t>
        </w:r>
      </w:hyperlink>
    </w:p>
    <w:p w14:paraId="0A929A21" w14:textId="77777777" w:rsidR="00A26DE1" w:rsidRPr="003335F8" w:rsidRDefault="00A26DE1" w:rsidP="00A26DE1">
      <w:pPr>
        <w:rPr>
          <w:rFonts w:ascii="Arial" w:hAnsi="Arial" w:cs="Arial"/>
        </w:rPr>
      </w:pPr>
    </w:p>
    <w:p w14:paraId="352F8E53" w14:textId="56758B06"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Braun, V., &amp; Clarke, V. (2023). Thematic analysis. Springer International Publishing. </w:t>
      </w:r>
      <w:hyperlink r:id="rId57" w:history="1">
        <w:r w:rsidR="00943C80" w:rsidRPr="003335F8">
          <w:rPr>
            <w:rStyle w:val="Hyperlink"/>
            <w:rFonts w:ascii="Arial" w:hAnsi="Arial" w:cs="Arial"/>
          </w:rPr>
          <w:t>https://doi.org/10.1007/978-3-031-17299-1_3470</w:t>
        </w:r>
      </w:hyperlink>
    </w:p>
    <w:p w14:paraId="5BCF52AE" w14:textId="77777777" w:rsidR="00943C80" w:rsidRPr="003335F8" w:rsidRDefault="00943C80" w:rsidP="00A26DE1">
      <w:pPr>
        <w:rPr>
          <w:rFonts w:ascii="Arial" w:hAnsi="Arial" w:cs="Arial"/>
        </w:rPr>
      </w:pPr>
    </w:p>
    <w:p w14:paraId="7C73D1AD" w14:textId="77777777" w:rsidR="00A26DE1" w:rsidRPr="003335F8" w:rsidRDefault="00A26DE1" w:rsidP="00A26DE1">
      <w:pPr>
        <w:rPr>
          <w:rFonts w:ascii="Arial" w:hAnsi="Arial" w:cs="Arial"/>
        </w:rPr>
      </w:pPr>
    </w:p>
    <w:p w14:paraId="023FDDA7" w14:textId="77777777" w:rsidR="00A26DE1" w:rsidRPr="003335F8" w:rsidRDefault="00A26DE1" w:rsidP="00A26DE1">
      <w:pPr>
        <w:rPr>
          <w:rFonts w:ascii="Arial" w:hAnsi="Arial" w:cs="Arial"/>
        </w:rPr>
      </w:pPr>
    </w:p>
    <w:p w14:paraId="6726F042" w14:textId="68DCCE31" w:rsidR="00A26DE1" w:rsidRPr="003335F8" w:rsidRDefault="00BF65B3" w:rsidP="00A26DE1">
      <w:pPr>
        <w:rPr>
          <w:rFonts w:ascii="Arial" w:hAnsi="Arial" w:cs="Arial"/>
        </w:rPr>
      </w:pPr>
      <w:r>
        <w:rPr>
          <w:rFonts w:ascii="Arial" w:hAnsi="Arial" w:cs="Arial"/>
        </w:rPr>
        <w:lastRenderedPageBreak/>
        <w:t xml:space="preserve">     </w:t>
      </w:r>
      <w:r w:rsidR="00A26DE1" w:rsidRPr="003335F8">
        <w:rPr>
          <w:rFonts w:ascii="Arial" w:hAnsi="Arial" w:cs="Arial"/>
        </w:rPr>
        <w:t xml:space="preserve">Cáceres Ruiz, A. M., &amp; Zaman, A. (2022). The current state, challenges, and opportunities of recycling plastics in Western Australia. Recycling, 7(5), Article 64. </w:t>
      </w:r>
      <w:hyperlink r:id="rId58" w:history="1">
        <w:r w:rsidR="00943C80" w:rsidRPr="003335F8">
          <w:rPr>
            <w:rStyle w:val="Hyperlink"/>
            <w:rFonts w:ascii="Arial" w:hAnsi="Arial" w:cs="Arial"/>
          </w:rPr>
          <w:t>https://doi.org/10.3390/recycling7050064</w:t>
        </w:r>
      </w:hyperlink>
    </w:p>
    <w:p w14:paraId="2513307C" w14:textId="77777777" w:rsidR="00A26DE1" w:rsidRPr="003335F8" w:rsidRDefault="00A26DE1" w:rsidP="00A26DE1">
      <w:pPr>
        <w:rPr>
          <w:rFonts w:ascii="Arial" w:hAnsi="Arial" w:cs="Arial"/>
        </w:rPr>
      </w:pPr>
    </w:p>
    <w:p w14:paraId="6C37B885" w14:textId="1F8D4BBD"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Commonwealth Scientific and Industrial Research Organisation. (2021). Advanced recycling: Technologies to address Australia's plastic waste challenge. </w:t>
      </w:r>
      <w:hyperlink r:id="rId59" w:history="1">
        <w:r w:rsidR="00943C80" w:rsidRPr="003335F8">
          <w:rPr>
            <w:rStyle w:val="Hyperlink"/>
            <w:rFonts w:ascii="Arial" w:hAnsi="Arial" w:cs="Arial"/>
          </w:rPr>
          <w:t>https://www.csiro.au/-/media/News-releases/2021/Advanced-recycling-report/21-00312_REPORT_AdvancedRecycling_WEB.pdf</w:t>
        </w:r>
      </w:hyperlink>
    </w:p>
    <w:p w14:paraId="3AC95C3C" w14:textId="77777777" w:rsidR="00A26DE1" w:rsidRPr="003335F8" w:rsidRDefault="00A26DE1" w:rsidP="00A26DE1">
      <w:pPr>
        <w:rPr>
          <w:rFonts w:ascii="Arial" w:hAnsi="Arial" w:cs="Arial"/>
        </w:rPr>
      </w:pPr>
    </w:p>
    <w:p w14:paraId="59E445F5" w14:textId="305A1B4F"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Department of Agriculture, Water and the Environment. (2021). National plastics plan 2021. Australian Government. </w:t>
      </w:r>
      <w:hyperlink r:id="rId60" w:history="1">
        <w:r w:rsidR="00943C80" w:rsidRPr="003335F8">
          <w:rPr>
            <w:rStyle w:val="Hyperlink"/>
            <w:rFonts w:ascii="Arial" w:hAnsi="Arial" w:cs="Arial"/>
          </w:rPr>
          <w:t>https://www.dcceew.gov.au/sites/default/files/documents/national-plastics-plan-2021.pdf</w:t>
        </w:r>
      </w:hyperlink>
    </w:p>
    <w:p w14:paraId="6D372C3C" w14:textId="77777777" w:rsidR="00943C80" w:rsidRPr="003335F8" w:rsidRDefault="00943C80" w:rsidP="00A26DE1">
      <w:pPr>
        <w:rPr>
          <w:rFonts w:ascii="Arial" w:hAnsi="Arial" w:cs="Arial"/>
        </w:rPr>
      </w:pPr>
    </w:p>
    <w:p w14:paraId="255CB1E1" w14:textId="3A2FC2C4"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European Parliament and Council of the European Union. (2025). Regulation (EU) 2025/40 of the European Parliament and of the Council of 19 December 2024 on packaging and packaging waste (PPWR). Official Journal of the European Union </w:t>
      </w:r>
      <w:hyperlink r:id="rId61" w:history="1">
        <w:r w:rsidR="00943C80" w:rsidRPr="003335F8">
          <w:rPr>
            <w:rStyle w:val="Hyperlink"/>
            <w:rFonts w:ascii="Arial" w:hAnsi="Arial" w:cs="Arial"/>
          </w:rPr>
          <w:t>https://eur-lex.europa.eu/legal-content/EN/TXT/?uri=OJ:L_202500040</w:t>
        </w:r>
      </w:hyperlink>
    </w:p>
    <w:p w14:paraId="6172E9E7" w14:textId="77777777" w:rsidR="00943C80" w:rsidRPr="003335F8" w:rsidRDefault="00943C80" w:rsidP="00A26DE1">
      <w:pPr>
        <w:rPr>
          <w:rFonts w:ascii="Arial" w:hAnsi="Arial" w:cs="Arial"/>
        </w:rPr>
      </w:pPr>
    </w:p>
    <w:p w14:paraId="7020D176" w14:textId="6565F867"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Eurostat. (2025). Packaging waste statistics. European Commission. </w:t>
      </w:r>
      <w:hyperlink r:id="rId62" w:history="1">
        <w:r w:rsidR="00943C80" w:rsidRPr="003335F8">
          <w:rPr>
            <w:rStyle w:val="Hyperlink"/>
            <w:rFonts w:ascii="Arial" w:hAnsi="Arial" w:cs="Arial"/>
          </w:rPr>
          <w:t>https://ec.europa.eu/eurostat/statistics-explained/index.php/Packaging_waste_statistics</w:t>
        </w:r>
      </w:hyperlink>
    </w:p>
    <w:p w14:paraId="730A7054" w14:textId="77777777" w:rsidR="00943C80" w:rsidRPr="003335F8" w:rsidRDefault="00943C80" w:rsidP="00A26DE1">
      <w:pPr>
        <w:rPr>
          <w:rFonts w:ascii="Arial" w:hAnsi="Arial" w:cs="Arial"/>
        </w:rPr>
      </w:pPr>
    </w:p>
    <w:p w14:paraId="36109C12" w14:textId="6CC0349C"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Hahladakis, J. N., &amp; </w:t>
      </w:r>
      <w:proofErr w:type="spellStart"/>
      <w:r w:rsidR="00A26DE1" w:rsidRPr="003335F8">
        <w:rPr>
          <w:rFonts w:ascii="Arial" w:hAnsi="Arial" w:cs="Arial"/>
        </w:rPr>
        <w:t>Iacovidou</w:t>
      </w:r>
      <w:proofErr w:type="spellEnd"/>
      <w:r w:rsidR="00A26DE1" w:rsidRPr="003335F8">
        <w:rPr>
          <w:rFonts w:ascii="Arial" w:hAnsi="Arial" w:cs="Arial"/>
        </w:rPr>
        <w:t xml:space="preserve">, E. (2018). Closing the loop on plastic packaging materials: What is quality and how does it affect their circularity? Science of the Total Environment, 630, 1394–1400. </w:t>
      </w:r>
      <w:hyperlink r:id="rId63" w:history="1">
        <w:r w:rsidR="00943C80" w:rsidRPr="003335F8">
          <w:rPr>
            <w:rStyle w:val="Hyperlink"/>
            <w:rFonts w:ascii="Arial" w:hAnsi="Arial" w:cs="Arial"/>
          </w:rPr>
          <w:t>https://doi.org/10.1016/j.scitotenv.2018.02.330</w:t>
        </w:r>
      </w:hyperlink>
    </w:p>
    <w:p w14:paraId="578940E0" w14:textId="77777777" w:rsidR="00A26DE1" w:rsidRPr="003335F8" w:rsidRDefault="00A26DE1" w:rsidP="00A26DE1">
      <w:pPr>
        <w:rPr>
          <w:rFonts w:ascii="Arial" w:hAnsi="Arial" w:cs="Arial"/>
        </w:rPr>
      </w:pPr>
    </w:p>
    <w:p w14:paraId="478AC1D8" w14:textId="1C8EE527"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Hossain, R., Islam, M. T., Ghose, A., &amp; </w:t>
      </w:r>
      <w:proofErr w:type="spellStart"/>
      <w:r w:rsidR="00A26DE1" w:rsidRPr="003335F8">
        <w:rPr>
          <w:rFonts w:ascii="Arial" w:hAnsi="Arial" w:cs="Arial"/>
        </w:rPr>
        <w:t>Sahajwalla</w:t>
      </w:r>
      <w:proofErr w:type="spellEnd"/>
      <w:r w:rsidR="00A26DE1" w:rsidRPr="003335F8">
        <w:rPr>
          <w:rFonts w:ascii="Arial" w:hAnsi="Arial" w:cs="Arial"/>
        </w:rPr>
        <w:t xml:space="preserve">, V. (2022). Full circle: Challenges and prospects for plastic waste management in Australia to achieve circular economy. Journal of Cleaner Production, 368, Article 133127. </w:t>
      </w:r>
      <w:hyperlink r:id="rId64" w:history="1">
        <w:r w:rsidR="00943C80" w:rsidRPr="003335F8">
          <w:rPr>
            <w:rStyle w:val="Hyperlink"/>
            <w:rFonts w:ascii="Arial" w:hAnsi="Arial" w:cs="Arial"/>
          </w:rPr>
          <w:t>https://doi.org/10.1016/j.jclepro.2022.133127</w:t>
        </w:r>
      </w:hyperlink>
    </w:p>
    <w:p w14:paraId="4A36810A" w14:textId="7ED9636A" w:rsidR="00A26DE1" w:rsidRPr="003335F8" w:rsidRDefault="00943C80" w:rsidP="00A26DE1">
      <w:pPr>
        <w:rPr>
          <w:rFonts w:ascii="Arial" w:hAnsi="Arial" w:cs="Arial"/>
        </w:rPr>
      </w:pPr>
      <w:r w:rsidRPr="003335F8">
        <w:rPr>
          <w:rFonts w:ascii="Arial" w:hAnsi="Arial" w:cs="Arial"/>
        </w:rPr>
        <w:br/>
      </w:r>
    </w:p>
    <w:p w14:paraId="280128E9" w14:textId="1B37FAB8"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House of Representatives Standing Committee on Climate Change, Energy, Environment and Water. (2024). Drowning in waste: Plastic pollution in Australia's oceans and waterways (Chapter 2). Parliament of Australia. </w:t>
      </w:r>
      <w:hyperlink r:id="rId65" w:history="1">
        <w:r w:rsidR="00A26DE1" w:rsidRPr="003335F8">
          <w:rPr>
            <w:rStyle w:val="Hyperlink"/>
            <w:rFonts w:ascii="Arial" w:hAnsi="Arial" w:cs="Arial"/>
          </w:rPr>
          <w:t>https://www.aph.gov.au/Parliamentary_Business/Committees/House/Climate_Change_Energy_Environment_and_Water/Plasticpollution/Report/Chapter_2_-_The_effectiveness_of_the_plastics_management_framework_under_the_National_Plastics</w:t>
        </w:r>
      </w:hyperlink>
    </w:p>
    <w:p w14:paraId="2D7DC8AB" w14:textId="77777777" w:rsidR="00A26DE1" w:rsidRPr="003335F8" w:rsidRDefault="00A26DE1" w:rsidP="00A26DE1">
      <w:pPr>
        <w:rPr>
          <w:rFonts w:ascii="Arial" w:hAnsi="Arial" w:cs="Arial"/>
        </w:rPr>
      </w:pPr>
    </w:p>
    <w:p w14:paraId="4D881F43" w14:textId="456AF7C6"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Johnson, H., Keane, K., McGillivray, L., Akhtar-Khavari, A., Chambers, L., Barner-</w:t>
      </w:r>
      <w:proofErr w:type="spellStart"/>
      <w:r w:rsidR="00A26DE1" w:rsidRPr="003335F8">
        <w:rPr>
          <w:rFonts w:ascii="Arial" w:hAnsi="Arial" w:cs="Arial"/>
        </w:rPr>
        <w:t>Kowollik</w:t>
      </w:r>
      <w:proofErr w:type="spellEnd"/>
      <w:r w:rsidR="00A26DE1" w:rsidRPr="003335F8">
        <w:rPr>
          <w:rFonts w:ascii="Arial" w:hAnsi="Arial" w:cs="Arial"/>
        </w:rPr>
        <w:t xml:space="preserve">, C., </w:t>
      </w:r>
      <w:proofErr w:type="spellStart"/>
      <w:r w:rsidR="00A26DE1" w:rsidRPr="003335F8">
        <w:rPr>
          <w:rFonts w:ascii="Arial" w:hAnsi="Arial" w:cs="Arial"/>
        </w:rPr>
        <w:t>Lauchs</w:t>
      </w:r>
      <w:proofErr w:type="spellEnd"/>
      <w:r w:rsidR="00A26DE1" w:rsidRPr="003335F8">
        <w:rPr>
          <w:rFonts w:ascii="Arial" w:hAnsi="Arial" w:cs="Arial"/>
        </w:rPr>
        <w:t xml:space="preserve">, M., &amp; Blinco, J. (2025). Reforming plastic packaging regulation: Outcomes from stakeholder interviews and regulatory analysis. Sustainable Production and Consumption, 54, 52–63. </w:t>
      </w:r>
      <w:hyperlink r:id="rId66" w:history="1">
        <w:r w:rsidR="00943C80" w:rsidRPr="003335F8">
          <w:rPr>
            <w:rStyle w:val="Hyperlink"/>
            <w:rFonts w:ascii="Arial" w:hAnsi="Arial" w:cs="Arial"/>
          </w:rPr>
          <w:t>https://doi.org/10.1016/j.spc.2024.12.017</w:t>
        </w:r>
      </w:hyperlink>
    </w:p>
    <w:p w14:paraId="596CF0F5" w14:textId="77777777" w:rsidR="00A26DE1" w:rsidRPr="003335F8" w:rsidRDefault="00A26DE1" w:rsidP="00A26DE1">
      <w:pPr>
        <w:rPr>
          <w:rFonts w:ascii="Arial" w:hAnsi="Arial" w:cs="Arial"/>
        </w:rPr>
      </w:pPr>
    </w:p>
    <w:p w14:paraId="6419F817" w14:textId="0B95011D" w:rsidR="00943C80"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Kirchherr, J., </w:t>
      </w:r>
      <w:proofErr w:type="spellStart"/>
      <w:r w:rsidR="00A26DE1" w:rsidRPr="003335F8">
        <w:rPr>
          <w:rFonts w:ascii="Arial" w:hAnsi="Arial" w:cs="Arial"/>
        </w:rPr>
        <w:t>Piscicelli</w:t>
      </w:r>
      <w:proofErr w:type="spellEnd"/>
      <w:r w:rsidR="00A26DE1" w:rsidRPr="003335F8">
        <w:rPr>
          <w:rFonts w:ascii="Arial" w:hAnsi="Arial" w:cs="Arial"/>
        </w:rPr>
        <w:t xml:space="preserve">, L., Bour, R., </w:t>
      </w:r>
      <w:proofErr w:type="spellStart"/>
      <w:r w:rsidR="00A26DE1" w:rsidRPr="003335F8">
        <w:rPr>
          <w:rFonts w:ascii="Arial" w:hAnsi="Arial" w:cs="Arial"/>
        </w:rPr>
        <w:t>Kostense</w:t>
      </w:r>
      <w:proofErr w:type="spellEnd"/>
      <w:r w:rsidR="00A26DE1" w:rsidRPr="003335F8">
        <w:rPr>
          <w:rFonts w:ascii="Arial" w:hAnsi="Arial" w:cs="Arial"/>
        </w:rPr>
        <w:t xml:space="preserve">-Smit, E., Muller, J., </w:t>
      </w:r>
      <w:proofErr w:type="spellStart"/>
      <w:r w:rsidR="00A26DE1" w:rsidRPr="003335F8">
        <w:rPr>
          <w:rFonts w:ascii="Arial" w:hAnsi="Arial" w:cs="Arial"/>
        </w:rPr>
        <w:t>Huibrechtse-Truijens</w:t>
      </w:r>
      <w:proofErr w:type="spellEnd"/>
      <w:r w:rsidR="00A26DE1" w:rsidRPr="003335F8">
        <w:rPr>
          <w:rFonts w:ascii="Arial" w:hAnsi="Arial" w:cs="Arial"/>
        </w:rPr>
        <w:t xml:space="preserve">, A., &amp; Hekkert, M. (2018). Barriers to the circular economy: Evidence from the European Union (EU). Ecological Economics, 150, 264–272. </w:t>
      </w:r>
      <w:hyperlink r:id="rId67" w:history="1">
        <w:r w:rsidR="00943C80" w:rsidRPr="003335F8">
          <w:rPr>
            <w:rStyle w:val="Hyperlink"/>
            <w:rFonts w:ascii="Arial" w:hAnsi="Arial" w:cs="Arial"/>
          </w:rPr>
          <w:t>https://doi.org/10.1016/j.ecolecon.2018.04.028</w:t>
        </w:r>
      </w:hyperlink>
    </w:p>
    <w:p w14:paraId="686D0F01" w14:textId="77777777" w:rsidR="00A26DE1" w:rsidRPr="003335F8" w:rsidRDefault="00A26DE1" w:rsidP="00A26DE1">
      <w:pPr>
        <w:rPr>
          <w:rFonts w:ascii="Arial" w:hAnsi="Arial" w:cs="Arial"/>
        </w:rPr>
      </w:pPr>
    </w:p>
    <w:p w14:paraId="3AE583E9" w14:textId="09FB9C22"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Ng, A. W. M., Ly, S., </w:t>
      </w:r>
      <w:proofErr w:type="spellStart"/>
      <w:r w:rsidR="00A26DE1" w:rsidRPr="003335F8">
        <w:rPr>
          <w:rFonts w:ascii="Arial" w:hAnsi="Arial" w:cs="Arial"/>
        </w:rPr>
        <w:t>Muttil</w:t>
      </w:r>
      <w:proofErr w:type="spellEnd"/>
      <w:r w:rsidR="00A26DE1" w:rsidRPr="003335F8">
        <w:rPr>
          <w:rFonts w:ascii="Arial" w:hAnsi="Arial" w:cs="Arial"/>
        </w:rPr>
        <w:t xml:space="preserve">, N., &amp; Nguyen, C. N. (2021). Issues and challenges confronting the achievement of zero plastic waste in Victoria, Australia. Recycling, 6(1), Article 9. </w:t>
      </w:r>
      <w:hyperlink r:id="rId68" w:history="1">
        <w:r w:rsidR="00943C80" w:rsidRPr="003335F8">
          <w:rPr>
            <w:rStyle w:val="Hyperlink"/>
            <w:rFonts w:ascii="Arial" w:hAnsi="Arial" w:cs="Arial"/>
          </w:rPr>
          <w:t>https://doi.org/10.3390/recycling6010009</w:t>
        </w:r>
      </w:hyperlink>
    </w:p>
    <w:p w14:paraId="012BA253" w14:textId="77777777" w:rsidR="00A26DE1" w:rsidRPr="003335F8" w:rsidRDefault="00A26DE1" w:rsidP="00A26DE1">
      <w:pPr>
        <w:rPr>
          <w:rFonts w:ascii="Arial" w:hAnsi="Arial" w:cs="Arial"/>
        </w:rPr>
      </w:pPr>
    </w:p>
    <w:p w14:paraId="01FEF8D6" w14:textId="6744F123"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O'Connor, H., &amp; Gibson, N. (2003). A step-by-step guide to qualitative data analysis. </w:t>
      </w:r>
      <w:proofErr w:type="spellStart"/>
      <w:r w:rsidR="00A26DE1" w:rsidRPr="003335F8">
        <w:rPr>
          <w:rFonts w:ascii="Arial" w:hAnsi="Arial" w:cs="Arial"/>
        </w:rPr>
        <w:t>Pimatisiwin</w:t>
      </w:r>
      <w:proofErr w:type="spellEnd"/>
      <w:r w:rsidR="00A26DE1" w:rsidRPr="003335F8">
        <w:rPr>
          <w:rFonts w:ascii="Arial" w:hAnsi="Arial" w:cs="Arial"/>
        </w:rPr>
        <w:t>: A Journal of Aboriginal &amp; Indigenous Community Health, 1(1), 63–90.</w:t>
      </w:r>
    </w:p>
    <w:p w14:paraId="42FE0573" w14:textId="77777777" w:rsidR="00943C80" w:rsidRPr="003335F8" w:rsidRDefault="00943C80" w:rsidP="00A26DE1">
      <w:pPr>
        <w:rPr>
          <w:rFonts w:ascii="Arial" w:hAnsi="Arial" w:cs="Arial"/>
        </w:rPr>
      </w:pPr>
    </w:p>
    <w:p w14:paraId="2D9CE371" w14:textId="41357B79"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OECD. (2022). Global plastics outlook: Economic drivers, environmental impacts and policy options. OECD Publishing. </w:t>
      </w:r>
      <w:hyperlink r:id="rId69" w:history="1">
        <w:r w:rsidR="00943C80" w:rsidRPr="003335F8">
          <w:rPr>
            <w:rStyle w:val="Hyperlink"/>
            <w:rFonts w:ascii="Arial" w:hAnsi="Arial" w:cs="Arial"/>
          </w:rPr>
          <w:t>https://doi.org/10.1787/de747aef-en</w:t>
        </w:r>
      </w:hyperlink>
    </w:p>
    <w:p w14:paraId="5CA60FE9" w14:textId="77777777" w:rsidR="00A26DE1" w:rsidRPr="003335F8" w:rsidRDefault="00A26DE1" w:rsidP="00A26DE1">
      <w:pPr>
        <w:rPr>
          <w:rFonts w:ascii="Arial" w:hAnsi="Arial" w:cs="Arial"/>
        </w:rPr>
      </w:pPr>
    </w:p>
    <w:p w14:paraId="69BD548E" w14:textId="32FBD63D"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Pruess, J. T. (2023). </w:t>
      </w:r>
      <w:proofErr w:type="spellStart"/>
      <w:r w:rsidR="00A26DE1" w:rsidRPr="003335F8">
        <w:rPr>
          <w:rFonts w:ascii="Arial" w:hAnsi="Arial" w:cs="Arial"/>
        </w:rPr>
        <w:t>Unraveling</w:t>
      </w:r>
      <w:proofErr w:type="spellEnd"/>
      <w:r w:rsidR="00A26DE1" w:rsidRPr="003335F8">
        <w:rPr>
          <w:rFonts w:ascii="Arial" w:hAnsi="Arial" w:cs="Arial"/>
        </w:rPr>
        <w:t xml:space="preserve"> the complexity of extended producer responsibility policy mix design, implementation, and transfer dynamics in the European Union. Journal of Industrial Ecology, 27(6), 1500–1520. </w:t>
      </w:r>
      <w:hyperlink r:id="rId70" w:history="1">
        <w:r w:rsidR="00943C80" w:rsidRPr="003335F8">
          <w:rPr>
            <w:rStyle w:val="Hyperlink"/>
            <w:rFonts w:ascii="Arial" w:hAnsi="Arial" w:cs="Arial"/>
          </w:rPr>
          <w:t>https://doi.org/10.1111/jiec.13429</w:t>
        </w:r>
      </w:hyperlink>
    </w:p>
    <w:p w14:paraId="61A6D40D" w14:textId="77777777" w:rsidR="00943C80" w:rsidRPr="003335F8" w:rsidRDefault="00943C80" w:rsidP="00A26DE1">
      <w:pPr>
        <w:rPr>
          <w:rFonts w:ascii="Arial" w:hAnsi="Arial" w:cs="Arial"/>
        </w:rPr>
      </w:pPr>
    </w:p>
    <w:p w14:paraId="4515BFB2" w14:textId="6837056E"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Shittu, O., Arnautovic, K., Lockrey, S., Vince, J., Vogel, R., Bhattacharya, A., </w:t>
      </w:r>
      <w:proofErr w:type="spellStart"/>
      <w:r w:rsidR="00A26DE1" w:rsidRPr="003335F8">
        <w:rPr>
          <w:rFonts w:ascii="Arial" w:hAnsi="Arial" w:cs="Arial"/>
        </w:rPr>
        <w:t>Stanes</w:t>
      </w:r>
      <w:proofErr w:type="spellEnd"/>
      <w:r w:rsidR="00A26DE1" w:rsidRPr="003335F8">
        <w:rPr>
          <w:rFonts w:ascii="Arial" w:hAnsi="Arial" w:cs="Arial"/>
        </w:rPr>
        <w:t xml:space="preserve">, E., Garofano, N., Retamal, M., &amp; Harkness, M. (2024). Governance solutions for soft plastics in Australia: Lessons from the discontinuation of </w:t>
      </w:r>
      <w:proofErr w:type="spellStart"/>
      <w:r w:rsidR="00A26DE1" w:rsidRPr="003335F8">
        <w:rPr>
          <w:rFonts w:ascii="Arial" w:hAnsi="Arial" w:cs="Arial"/>
        </w:rPr>
        <w:t>REDcycle</w:t>
      </w:r>
      <w:proofErr w:type="spellEnd"/>
      <w:r w:rsidR="00A26DE1" w:rsidRPr="003335F8">
        <w:rPr>
          <w:rFonts w:ascii="Arial" w:hAnsi="Arial" w:cs="Arial"/>
        </w:rPr>
        <w:t xml:space="preserve">. Australasian Journal of Environmental Management, 31(3), 269–295. </w:t>
      </w:r>
      <w:hyperlink r:id="rId71" w:history="1">
        <w:r w:rsidR="00943C80" w:rsidRPr="003335F8">
          <w:rPr>
            <w:rStyle w:val="Hyperlink"/>
            <w:rFonts w:ascii="Arial" w:hAnsi="Arial" w:cs="Arial"/>
          </w:rPr>
          <w:t>https://doi.org/10.1080/14486563.2024.2367960</w:t>
        </w:r>
      </w:hyperlink>
    </w:p>
    <w:p w14:paraId="4BCE14E7" w14:textId="77777777" w:rsidR="00943C80" w:rsidRPr="003335F8" w:rsidRDefault="00943C80" w:rsidP="00A26DE1">
      <w:pPr>
        <w:rPr>
          <w:rFonts w:ascii="Arial" w:hAnsi="Arial" w:cs="Arial"/>
        </w:rPr>
      </w:pPr>
    </w:p>
    <w:p w14:paraId="238CD5F7" w14:textId="77777777" w:rsidR="00A26DE1" w:rsidRPr="003335F8" w:rsidRDefault="00A26DE1" w:rsidP="00A26DE1">
      <w:pPr>
        <w:rPr>
          <w:rFonts w:ascii="Arial" w:hAnsi="Arial" w:cs="Arial"/>
        </w:rPr>
      </w:pPr>
    </w:p>
    <w:p w14:paraId="5DA87EFC" w14:textId="260CD5CD" w:rsidR="00A26DE1" w:rsidRPr="003335F8" w:rsidRDefault="00BF65B3" w:rsidP="00A26DE1">
      <w:pPr>
        <w:rPr>
          <w:rFonts w:ascii="Arial" w:hAnsi="Arial" w:cs="Arial"/>
        </w:rPr>
      </w:pPr>
      <w:r>
        <w:rPr>
          <w:rFonts w:ascii="Arial" w:hAnsi="Arial" w:cs="Arial"/>
        </w:rPr>
        <w:t xml:space="preserve">     </w:t>
      </w:r>
      <w:proofErr w:type="spellStart"/>
      <w:r w:rsidR="00A26DE1" w:rsidRPr="003335F8">
        <w:rPr>
          <w:rFonts w:ascii="Arial" w:hAnsi="Arial" w:cs="Arial"/>
        </w:rPr>
        <w:t>Soenmez</w:t>
      </w:r>
      <w:proofErr w:type="spellEnd"/>
      <w:r w:rsidR="00A26DE1" w:rsidRPr="003335F8">
        <w:rPr>
          <w:rFonts w:ascii="Arial" w:hAnsi="Arial" w:cs="Arial"/>
        </w:rPr>
        <w:t xml:space="preserve">, C., Venkatachalam, V., Spierling, S., Endres, H.-J., &amp; Barner, L. (2024). Environmental potential of recycling of plastic wastes in Australia based on life cycle assessment. Journal of Material Cycles and Waste Management, 26(2), 755–775. </w:t>
      </w:r>
      <w:hyperlink r:id="rId72" w:history="1">
        <w:r w:rsidR="00A26DE1" w:rsidRPr="003335F8">
          <w:rPr>
            <w:rStyle w:val="Hyperlink"/>
            <w:rFonts w:ascii="Arial" w:hAnsi="Arial" w:cs="Arial"/>
          </w:rPr>
          <w:t>https://doi.org/10.1007/s10163-024-01901-1</w:t>
        </w:r>
      </w:hyperlink>
    </w:p>
    <w:p w14:paraId="306F3DE3" w14:textId="77777777" w:rsidR="00A26DE1" w:rsidRPr="003335F8" w:rsidRDefault="00A26DE1" w:rsidP="00A26DE1">
      <w:pPr>
        <w:rPr>
          <w:rFonts w:ascii="Arial" w:hAnsi="Arial" w:cs="Arial"/>
        </w:rPr>
      </w:pPr>
    </w:p>
    <w:p w14:paraId="36A5EC08" w14:textId="35122303" w:rsidR="00A26DE1" w:rsidRPr="003335F8" w:rsidRDefault="00BF65B3" w:rsidP="00A26DE1">
      <w:pPr>
        <w:rPr>
          <w:rFonts w:ascii="Arial" w:hAnsi="Arial" w:cs="Arial"/>
        </w:rPr>
      </w:pPr>
      <w:r>
        <w:rPr>
          <w:rFonts w:ascii="Arial" w:hAnsi="Arial" w:cs="Arial"/>
        </w:rPr>
        <w:t xml:space="preserve">     </w:t>
      </w:r>
      <w:r w:rsidR="00A26DE1" w:rsidRPr="003335F8">
        <w:rPr>
          <w:rFonts w:ascii="Arial" w:hAnsi="Arial" w:cs="Arial"/>
        </w:rPr>
        <w:t xml:space="preserve">Madden, B., &amp; Florin, N. (2024). Characterisation of household single-use packaging flows through a municipal waste system: A material flow analysis for New South Wales, Australia. </w:t>
      </w:r>
      <w:proofErr w:type="spellStart"/>
      <w:r w:rsidR="00A26DE1" w:rsidRPr="003335F8">
        <w:rPr>
          <w:rFonts w:ascii="Arial" w:hAnsi="Arial" w:cs="Arial"/>
        </w:rPr>
        <w:t>Heliyon</w:t>
      </w:r>
      <w:proofErr w:type="spellEnd"/>
      <w:r w:rsidR="00A26DE1" w:rsidRPr="003335F8">
        <w:rPr>
          <w:rFonts w:ascii="Arial" w:hAnsi="Arial" w:cs="Arial"/>
        </w:rPr>
        <w:t xml:space="preserve">, 10(12), Article e32878. </w:t>
      </w:r>
      <w:hyperlink r:id="rId73" w:history="1">
        <w:r w:rsidR="00943C80" w:rsidRPr="003335F8">
          <w:rPr>
            <w:rStyle w:val="Hyperlink"/>
            <w:rFonts w:ascii="Arial" w:hAnsi="Arial" w:cs="Arial"/>
          </w:rPr>
          <w:t>https://doi.org/10.1016/j.heliyon.2024.e32878</w:t>
        </w:r>
      </w:hyperlink>
    </w:p>
    <w:p w14:paraId="24E8BA3E" w14:textId="77777777" w:rsidR="00943C80" w:rsidRPr="003335F8" w:rsidRDefault="00943C80" w:rsidP="00A26DE1">
      <w:pPr>
        <w:rPr>
          <w:rFonts w:ascii="Arial" w:hAnsi="Arial" w:cs="Arial"/>
        </w:rPr>
      </w:pPr>
    </w:p>
    <w:p w14:paraId="12445B71" w14:textId="77777777" w:rsidR="00F6739D" w:rsidRPr="003335F8" w:rsidRDefault="00F6739D" w:rsidP="00A26DE1">
      <w:pPr>
        <w:rPr>
          <w:rFonts w:ascii="Arial" w:hAnsi="Arial" w:cs="Arial"/>
        </w:rPr>
      </w:pPr>
    </w:p>
    <w:p w14:paraId="1101A03E" w14:textId="10BF382D" w:rsidR="00F6739D" w:rsidRPr="003335F8" w:rsidRDefault="00811D21" w:rsidP="00A26DE1">
      <w:pPr>
        <w:rPr>
          <w:rFonts w:ascii="Arial" w:hAnsi="Arial" w:cs="Arial"/>
        </w:rPr>
      </w:pPr>
      <w:r w:rsidRPr="003335F8">
        <w:rPr>
          <w:rFonts w:ascii="Arial" w:hAnsi="Arial" w:cs="Arial"/>
        </w:rPr>
        <w:br/>
      </w:r>
      <w:r w:rsidR="003335F8">
        <w:rPr>
          <w:rFonts w:ascii="Arial" w:hAnsi="Arial" w:cs="Arial"/>
        </w:rPr>
        <w:br/>
      </w:r>
    </w:p>
    <w:p w14:paraId="2224E32F" w14:textId="77777777" w:rsidR="00F6739D" w:rsidRPr="003335F8" w:rsidRDefault="00F6739D" w:rsidP="00A26DE1">
      <w:pPr>
        <w:rPr>
          <w:rFonts w:ascii="Arial" w:hAnsi="Arial" w:cs="Arial"/>
        </w:rPr>
      </w:pPr>
    </w:p>
    <w:p w14:paraId="3571522F" w14:textId="77777777" w:rsidR="00F6739D" w:rsidRPr="003335F8" w:rsidRDefault="00F6739D" w:rsidP="00F6739D">
      <w:pPr>
        <w:rPr>
          <w:rFonts w:ascii="Arial" w:hAnsi="Arial" w:cs="Arial"/>
          <w:b/>
          <w:bCs/>
        </w:rPr>
      </w:pPr>
      <w:r w:rsidRPr="003335F8">
        <w:rPr>
          <w:rFonts w:ascii="Arial" w:hAnsi="Arial" w:cs="Arial"/>
          <w:b/>
          <w:bCs/>
        </w:rPr>
        <w:t>Appendix</w:t>
      </w:r>
    </w:p>
    <w:p w14:paraId="576AA65F" w14:textId="77777777" w:rsidR="00F6739D" w:rsidRPr="003335F8" w:rsidRDefault="00F6739D" w:rsidP="00F6739D">
      <w:pPr>
        <w:rPr>
          <w:rFonts w:ascii="Arial" w:hAnsi="Arial" w:cs="Arial"/>
          <w:b/>
          <w:bCs/>
        </w:rPr>
      </w:pPr>
      <w:r w:rsidRPr="003335F8">
        <w:rPr>
          <w:rFonts w:ascii="Arial" w:hAnsi="Arial" w:cs="Arial"/>
          <w:b/>
          <w:bCs/>
        </w:rPr>
        <w:t>Appendix A Thematic Analysis Summary (Template 9.1)</w:t>
      </w:r>
    </w:p>
    <w:p w14:paraId="317D676D" w14:textId="77777777" w:rsidR="00F6739D" w:rsidRPr="003335F8" w:rsidRDefault="00F6739D" w:rsidP="00F6739D">
      <w:pPr>
        <w:rPr>
          <w:rFonts w:ascii="Arial" w:hAnsi="Arial" w:cs="Arial"/>
        </w:rPr>
      </w:pPr>
      <w:r w:rsidRPr="003335F8">
        <w:rPr>
          <w:rFonts w:ascii="Arial" w:hAnsi="Arial" w:cs="Arial"/>
        </w:rPr>
        <w:t>T</w:t>
      </w:r>
      <w:r w:rsidRPr="003335F8">
        <w:rPr>
          <w:rFonts w:ascii="Arial" w:hAnsi="Arial" w:cs="Arial"/>
          <w:b/>
          <w:bCs/>
        </w:rPr>
        <w:t>able A1: Thematic Analysis Summary -RQ1 Progress Towards Targets</w:t>
      </w:r>
    </w:p>
    <w:p w14:paraId="32F57D11" w14:textId="6F7A9E0F" w:rsidR="00F6739D" w:rsidRPr="003335F8" w:rsidRDefault="00F6739D" w:rsidP="00F6739D">
      <w:pPr>
        <w:rPr>
          <w:rFonts w:ascii="Arial" w:hAnsi="Arial" w:cs="Arial"/>
        </w:rPr>
      </w:pPr>
      <w:r w:rsidRPr="003335F8">
        <w:rPr>
          <w:rFonts w:ascii="Arial" w:hAnsi="Arial" w:cs="Arial"/>
          <w:noProof/>
        </w:rPr>
        <w:drawing>
          <wp:inline distT="0" distB="0" distL="0" distR="0" wp14:anchorId="7650B9D3" wp14:editId="6B7B2D02">
            <wp:extent cx="5731510" cy="1816735"/>
            <wp:effectExtent l="0" t="0" r="2540" b="0"/>
            <wp:docPr id="5721667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1816735"/>
                    </a:xfrm>
                    <a:prstGeom prst="rect">
                      <a:avLst/>
                    </a:prstGeom>
                    <a:noFill/>
                    <a:ln>
                      <a:noFill/>
                    </a:ln>
                  </pic:spPr>
                </pic:pic>
              </a:graphicData>
            </a:graphic>
          </wp:inline>
        </w:drawing>
      </w:r>
    </w:p>
    <w:p w14:paraId="0ECBBF0F" w14:textId="77777777" w:rsidR="00F6739D" w:rsidRPr="003335F8" w:rsidRDefault="00F6739D" w:rsidP="00F6739D">
      <w:pPr>
        <w:rPr>
          <w:rFonts w:ascii="Arial" w:hAnsi="Arial" w:cs="Arial"/>
        </w:rPr>
      </w:pPr>
      <w:r w:rsidRPr="003335F8">
        <w:rPr>
          <w:rFonts w:ascii="Arial" w:hAnsi="Arial" w:cs="Arial"/>
          <w:b/>
          <w:bCs/>
        </w:rPr>
        <w:t>Table A2: Thematic Analysis Summary -RQ2 Barriers to Closing the Gap</w:t>
      </w:r>
    </w:p>
    <w:p w14:paraId="396D59AC" w14:textId="03F2411E" w:rsidR="00F6739D" w:rsidRPr="003335F8" w:rsidRDefault="00F6739D" w:rsidP="00F6739D">
      <w:pPr>
        <w:rPr>
          <w:rFonts w:ascii="Arial" w:hAnsi="Arial" w:cs="Arial"/>
        </w:rPr>
      </w:pPr>
      <w:r w:rsidRPr="003335F8">
        <w:rPr>
          <w:rFonts w:ascii="Arial" w:hAnsi="Arial" w:cs="Arial"/>
          <w:noProof/>
        </w:rPr>
        <w:lastRenderedPageBreak/>
        <w:drawing>
          <wp:inline distT="0" distB="0" distL="0" distR="0" wp14:anchorId="11F5BE47" wp14:editId="62AF8E48">
            <wp:extent cx="5731510" cy="3357245"/>
            <wp:effectExtent l="0" t="0" r="2540" b="0"/>
            <wp:docPr id="17568963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3357245"/>
                    </a:xfrm>
                    <a:prstGeom prst="rect">
                      <a:avLst/>
                    </a:prstGeom>
                    <a:noFill/>
                    <a:ln>
                      <a:noFill/>
                    </a:ln>
                  </pic:spPr>
                </pic:pic>
              </a:graphicData>
            </a:graphic>
          </wp:inline>
        </w:drawing>
      </w:r>
    </w:p>
    <w:p w14:paraId="3315F04E" w14:textId="77777777" w:rsidR="00F6739D" w:rsidRPr="003335F8" w:rsidRDefault="00F6739D" w:rsidP="00F6739D">
      <w:pPr>
        <w:rPr>
          <w:rFonts w:ascii="Arial" w:hAnsi="Arial" w:cs="Arial"/>
        </w:rPr>
      </w:pPr>
      <w:r w:rsidRPr="003335F8">
        <w:rPr>
          <w:rFonts w:ascii="Arial" w:hAnsi="Arial" w:cs="Arial"/>
          <w:b/>
          <w:bCs/>
        </w:rPr>
        <w:t>Table A3: Thematic Analysis Summary -RQ3 International Comparison</w:t>
      </w:r>
    </w:p>
    <w:p w14:paraId="6BB0AB7D" w14:textId="6FB82FFC" w:rsidR="00F6739D" w:rsidRPr="003335F8" w:rsidRDefault="00F6739D" w:rsidP="00F6739D">
      <w:pPr>
        <w:rPr>
          <w:rFonts w:ascii="Arial" w:hAnsi="Arial" w:cs="Arial"/>
        </w:rPr>
      </w:pPr>
      <w:r w:rsidRPr="003335F8">
        <w:rPr>
          <w:rFonts w:ascii="Arial" w:hAnsi="Arial" w:cs="Arial"/>
          <w:noProof/>
        </w:rPr>
        <w:drawing>
          <wp:inline distT="0" distB="0" distL="0" distR="0" wp14:anchorId="1B916F8E" wp14:editId="3481B98D">
            <wp:extent cx="5731510" cy="2521585"/>
            <wp:effectExtent l="0" t="0" r="2540" b="0"/>
            <wp:docPr id="2525984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2521585"/>
                    </a:xfrm>
                    <a:prstGeom prst="rect">
                      <a:avLst/>
                    </a:prstGeom>
                    <a:noFill/>
                    <a:ln>
                      <a:noFill/>
                    </a:ln>
                  </pic:spPr>
                </pic:pic>
              </a:graphicData>
            </a:graphic>
          </wp:inline>
        </w:drawing>
      </w:r>
    </w:p>
    <w:p w14:paraId="73AFBB5D" w14:textId="77777777" w:rsidR="00F6739D" w:rsidRPr="003335F8" w:rsidRDefault="00F6739D" w:rsidP="00F6739D">
      <w:pPr>
        <w:rPr>
          <w:rFonts w:ascii="Arial" w:hAnsi="Arial" w:cs="Arial"/>
        </w:rPr>
      </w:pPr>
      <w:r w:rsidRPr="003335F8">
        <w:rPr>
          <w:rFonts w:ascii="Arial" w:hAnsi="Arial" w:cs="Arial"/>
        </w:rPr>
        <w:br/>
      </w:r>
      <w:r w:rsidRPr="003335F8">
        <w:rPr>
          <w:rFonts w:ascii="Arial" w:hAnsi="Arial" w:cs="Arial"/>
        </w:rPr>
        <w:br/>
      </w:r>
      <w:r w:rsidRPr="003335F8">
        <w:rPr>
          <w:rFonts w:ascii="Arial" w:hAnsi="Arial" w:cs="Arial"/>
        </w:rPr>
        <w:br/>
      </w:r>
    </w:p>
    <w:p w14:paraId="108886DD" w14:textId="77777777" w:rsidR="00A26DE1" w:rsidRPr="009F62CF" w:rsidRDefault="00A26DE1" w:rsidP="009F62CF">
      <w:pPr>
        <w:rPr>
          <w:rFonts w:ascii="Arial" w:hAnsi="Arial" w:cs="Arial"/>
        </w:rPr>
      </w:pPr>
    </w:p>
    <w:sectPr w:rsidR="00A26DE1" w:rsidRPr="009F62CF">
      <w:footerReference w:type="default" r:id="rId7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72DFF" w14:textId="77777777" w:rsidR="00EC24B5" w:rsidRDefault="00EC24B5" w:rsidP="000B5DB6">
      <w:pPr>
        <w:spacing w:after="0" w:line="240" w:lineRule="auto"/>
      </w:pPr>
      <w:r>
        <w:separator/>
      </w:r>
    </w:p>
  </w:endnote>
  <w:endnote w:type="continuationSeparator" w:id="0">
    <w:p w14:paraId="5F1B9E67" w14:textId="77777777" w:rsidR="00EC24B5" w:rsidRDefault="00EC24B5" w:rsidP="000B5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616827"/>
      <w:docPartObj>
        <w:docPartGallery w:val="Page Numbers (Bottom of Page)"/>
        <w:docPartUnique/>
      </w:docPartObj>
    </w:sdtPr>
    <w:sdtEndPr>
      <w:rPr>
        <w:noProof/>
      </w:rPr>
    </w:sdtEndPr>
    <w:sdtContent>
      <w:p w14:paraId="50CAC96A" w14:textId="43E1BAFC" w:rsidR="000B5DB6" w:rsidRDefault="000B5D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E88467" w14:textId="77777777" w:rsidR="000B5DB6" w:rsidRDefault="000B5D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D001A" w14:textId="77777777" w:rsidR="00EC24B5" w:rsidRDefault="00EC24B5" w:rsidP="000B5DB6">
      <w:pPr>
        <w:spacing w:after="0" w:line="240" w:lineRule="auto"/>
      </w:pPr>
      <w:r>
        <w:separator/>
      </w:r>
    </w:p>
  </w:footnote>
  <w:footnote w:type="continuationSeparator" w:id="0">
    <w:p w14:paraId="227B87B5" w14:textId="77777777" w:rsidR="00EC24B5" w:rsidRDefault="00EC24B5" w:rsidP="000B5D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3A7"/>
    <w:multiLevelType w:val="multilevel"/>
    <w:tmpl w:val="0ACA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F34C9"/>
    <w:multiLevelType w:val="multilevel"/>
    <w:tmpl w:val="62A0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E318B"/>
    <w:multiLevelType w:val="multilevel"/>
    <w:tmpl w:val="ABA8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7080A"/>
    <w:multiLevelType w:val="multilevel"/>
    <w:tmpl w:val="0CBA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D436E"/>
    <w:multiLevelType w:val="multilevel"/>
    <w:tmpl w:val="1936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47413"/>
    <w:multiLevelType w:val="multilevel"/>
    <w:tmpl w:val="8090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017EB"/>
    <w:multiLevelType w:val="multilevel"/>
    <w:tmpl w:val="8CF4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2296E"/>
    <w:multiLevelType w:val="multilevel"/>
    <w:tmpl w:val="3D62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87B6B"/>
    <w:multiLevelType w:val="multilevel"/>
    <w:tmpl w:val="3A5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83F1C"/>
    <w:multiLevelType w:val="multilevel"/>
    <w:tmpl w:val="87CA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4008E"/>
    <w:multiLevelType w:val="multilevel"/>
    <w:tmpl w:val="0DC4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54ED0"/>
    <w:multiLevelType w:val="multilevel"/>
    <w:tmpl w:val="976A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366BF"/>
    <w:multiLevelType w:val="multilevel"/>
    <w:tmpl w:val="16B6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255B2"/>
    <w:multiLevelType w:val="multilevel"/>
    <w:tmpl w:val="C54C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B0377"/>
    <w:multiLevelType w:val="multilevel"/>
    <w:tmpl w:val="22D2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1086B"/>
    <w:multiLevelType w:val="multilevel"/>
    <w:tmpl w:val="3654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444F9"/>
    <w:multiLevelType w:val="multilevel"/>
    <w:tmpl w:val="9E243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42251"/>
    <w:multiLevelType w:val="multilevel"/>
    <w:tmpl w:val="80F6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3202A"/>
    <w:multiLevelType w:val="multilevel"/>
    <w:tmpl w:val="2304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E7D90"/>
    <w:multiLevelType w:val="multilevel"/>
    <w:tmpl w:val="B2C6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837C3"/>
    <w:multiLevelType w:val="multilevel"/>
    <w:tmpl w:val="E7DC8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05BC1"/>
    <w:multiLevelType w:val="multilevel"/>
    <w:tmpl w:val="AB2A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F0EDE"/>
    <w:multiLevelType w:val="multilevel"/>
    <w:tmpl w:val="2AEE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A37E3"/>
    <w:multiLevelType w:val="multilevel"/>
    <w:tmpl w:val="7606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381E97"/>
    <w:multiLevelType w:val="multilevel"/>
    <w:tmpl w:val="9436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03A27"/>
    <w:multiLevelType w:val="multilevel"/>
    <w:tmpl w:val="590E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76764F"/>
    <w:multiLevelType w:val="multilevel"/>
    <w:tmpl w:val="FC0E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939BA"/>
    <w:multiLevelType w:val="multilevel"/>
    <w:tmpl w:val="C688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082172"/>
    <w:multiLevelType w:val="multilevel"/>
    <w:tmpl w:val="8434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6E26BD"/>
    <w:multiLevelType w:val="multilevel"/>
    <w:tmpl w:val="90FE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C76ADF"/>
    <w:multiLevelType w:val="multilevel"/>
    <w:tmpl w:val="5958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D57B8E"/>
    <w:multiLevelType w:val="multilevel"/>
    <w:tmpl w:val="758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5B6AFA"/>
    <w:multiLevelType w:val="multilevel"/>
    <w:tmpl w:val="B14E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D0404A"/>
    <w:multiLevelType w:val="multilevel"/>
    <w:tmpl w:val="252C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205CE"/>
    <w:multiLevelType w:val="multilevel"/>
    <w:tmpl w:val="CCCA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7E4A7B"/>
    <w:multiLevelType w:val="multilevel"/>
    <w:tmpl w:val="28A6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837DD6"/>
    <w:multiLevelType w:val="multilevel"/>
    <w:tmpl w:val="7BC8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CF1D0C"/>
    <w:multiLevelType w:val="multilevel"/>
    <w:tmpl w:val="2EC4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574835">
    <w:abstractNumId w:val="3"/>
  </w:num>
  <w:num w:numId="2" w16cid:durableId="1396469497">
    <w:abstractNumId w:val="8"/>
  </w:num>
  <w:num w:numId="3" w16cid:durableId="2041855203">
    <w:abstractNumId w:val="4"/>
  </w:num>
  <w:num w:numId="4" w16cid:durableId="748620010">
    <w:abstractNumId w:val="5"/>
  </w:num>
  <w:num w:numId="5" w16cid:durableId="689917915">
    <w:abstractNumId w:val="16"/>
  </w:num>
  <w:num w:numId="6" w16cid:durableId="2058359616">
    <w:abstractNumId w:val="24"/>
  </w:num>
  <w:num w:numId="7" w16cid:durableId="875002895">
    <w:abstractNumId w:val="19"/>
  </w:num>
  <w:num w:numId="8" w16cid:durableId="1073892698">
    <w:abstractNumId w:val="7"/>
  </w:num>
  <w:num w:numId="9" w16cid:durableId="278073778">
    <w:abstractNumId w:val="15"/>
  </w:num>
  <w:num w:numId="10" w16cid:durableId="637413959">
    <w:abstractNumId w:val="0"/>
  </w:num>
  <w:num w:numId="11" w16cid:durableId="2044355077">
    <w:abstractNumId w:val="11"/>
  </w:num>
  <w:num w:numId="12" w16cid:durableId="1052847545">
    <w:abstractNumId w:val="12"/>
  </w:num>
  <w:num w:numId="13" w16cid:durableId="956908327">
    <w:abstractNumId w:val="26"/>
  </w:num>
  <w:num w:numId="14" w16cid:durableId="171772047">
    <w:abstractNumId w:val="35"/>
  </w:num>
  <w:num w:numId="15" w16cid:durableId="730926780">
    <w:abstractNumId w:val="36"/>
  </w:num>
  <w:num w:numId="16" w16cid:durableId="326717365">
    <w:abstractNumId w:val="31"/>
  </w:num>
  <w:num w:numId="17" w16cid:durableId="943346481">
    <w:abstractNumId w:val="9"/>
  </w:num>
  <w:num w:numId="18" w16cid:durableId="1476024907">
    <w:abstractNumId w:val="21"/>
  </w:num>
  <w:num w:numId="19" w16cid:durableId="612130014">
    <w:abstractNumId w:val="18"/>
  </w:num>
  <w:num w:numId="20" w16cid:durableId="357045062">
    <w:abstractNumId w:val="2"/>
  </w:num>
  <w:num w:numId="21" w16cid:durableId="134376284">
    <w:abstractNumId w:val="14"/>
  </w:num>
  <w:num w:numId="22" w16cid:durableId="1242760102">
    <w:abstractNumId w:val="32"/>
  </w:num>
  <w:num w:numId="23" w16cid:durableId="1476875614">
    <w:abstractNumId w:val="13"/>
  </w:num>
  <w:num w:numId="24" w16cid:durableId="917321416">
    <w:abstractNumId w:val="20"/>
  </w:num>
  <w:num w:numId="25" w16cid:durableId="567612567">
    <w:abstractNumId w:val="25"/>
  </w:num>
  <w:num w:numId="26" w16cid:durableId="989791568">
    <w:abstractNumId w:val="6"/>
  </w:num>
  <w:num w:numId="27" w16cid:durableId="2030641891">
    <w:abstractNumId w:val="34"/>
  </w:num>
  <w:num w:numId="28" w16cid:durableId="335110646">
    <w:abstractNumId w:val="10"/>
  </w:num>
  <w:num w:numId="29" w16cid:durableId="202134831">
    <w:abstractNumId w:val="29"/>
  </w:num>
  <w:num w:numId="30" w16cid:durableId="417410600">
    <w:abstractNumId w:val="17"/>
  </w:num>
  <w:num w:numId="31" w16cid:durableId="1720208347">
    <w:abstractNumId w:val="33"/>
  </w:num>
  <w:num w:numId="32" w16cid:durableId="925845817">
    <w:abstractNumId w:val="27"/>
  </w:num>
  <w:num w:numId="33" w16cid:durableId="1180897751">
    <w:abstractNumId w:val="28"/>
  </w:num>
  <w:num w:numId="34" w16cid:durableId="1633100751">
    <w:abstractNumId w:val="1"/>
  </w:num>
  <w:num w:numId="35" w16cid:durableId="1256472551">
    <w:abstractNumId w:val="30"/>
  </w:num>
  <w:num w:numId="36" w16cid:durableId="518588058">
    <w:abstractNumId w:val="22"/>
  </w:num>
  <w:num w:numId="37" w16cid:durableId="845170986">
    <w:abstractNumId w:val="37"/>
  </w:num>
  <w:num w:numId="38" w16cid:durableId="16329750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649"/>
    <w:rsid w:val="000B5DB6"/>
    <w:rsid w:val="00112278"/>
    <w:rsid w:val="00115FBD"/>
    <w:rsid w:val="003335F8"/>
    <w:rsid w:val="003B738A"/>
    <w:rsid w:val="00466418"/>
    <w:rsid w:val="004A3F28"/>
    <w:rsid w:val="0051690A"/>
    <w:rsid w:val="006C3A75"/>
    <w:rsid w:val="007935A9"/>
    <w:rsid w:val="007C1601"/>
    <w:rsid w:val="007E64D6"/>
    <w:rsid w:val="00804469"/>
    <w:rsid w:val="00811D21"/>
    <w:rsid w:val="00872CA9"/>
    <w:rsid w:val="00924F35"/>
    <w:rsid w:val="00943C80"/>
    <w:rsid w:val="009F62CF"/>
    <w:rsid w:val="00A26DE1"/>
    <w:rsid w:val="00A659DB"/>
    <w:rsid w:val="00BF65B3"/>
    <w:rsid w:val="00E93649"/>
    <w:rsid w:val="00EC24B5"/>
    <w:rsid w:val="00F53A33"/>
    <w:rsid w:val="00F6739D"/>
    <w:rsid w:val="00FD5CD0"/>
    <w:rsid w:val="00FE19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6B0CD"/>
  <w15:chartTrackingRefBased/>
  <w15:docId w15:val="{6257942D-4D92-492D-9EE0-4C48BD25B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3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3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3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3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649"/>
    <w:rPr>
      <w:rFonts w:eastAsiaTheme="majorEastAsia" w:cstheme="majorBidi"/>
      <w:color w:val="272727" w:themeColor="text1" w:themeTint="D8"/>
    </w:rPr>
  </w:style>
  <w:style w:type="paragraph" w:styleId="Title">
    <w:name w:val="Title"/>
    <w:basedOn w:val="Normal"/>
    <w:next w:val="Normal"/>
    <w:link w:val="TitleChar"/>
    <w:uiPriority w:val="10"/>
    <w:qFormat/>
    <w:rsid w:val="00E93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649"/>
    <w:pPr>
      <w:spacing w:before="160"/>
      <w:jc w:val="center"/>
    </w:pPr>
    <w:rPr>
      <w:i/>
      <w:iCs/>
      <w:color w:val="404040" w:themeColor="text1" w:themeTint="BF"/>
    </w:rPr>
  </w:style>
  <w:style w:type="character" w:customStyle="1" w:styleId="QuoteChar">
    <w:name w:val="Quote Char"/>
    <w:basedOn w:val="DefaultParagraphFont"/>
    <w:link w:val="Quote"/>
    <w:uiPriority w:val="29"/>
    <w:rsid w:val="00E93649"/>
    <w:rPr>
      <w:i/>
      <w:iCs/>
      <w:color w:val="404040" w:themeColor="text1" w:themeTint="BF"/>
    </w:rPr>
  </w:style>
  <w:style w:type="paragraph" w:styleId="ListParagraph">
    <w:name w:val="List Paragraph"/>
    <w:basedOn w:val="Normal"/>
    <w:uiPriority w:val="34"/>
    <w:qFormat/>
    <w:rsid w:val="00E93649"/>
    <w:pPr>
      <w:ind w:left="720"/>
      <w:contextualSpacing/>
    </w:pPr>
  </w:style>
  <w:style w:type="character" w:styleId="IntenseEmphasis">
    <w:name w:val="Intense Emphasis"/>
    <w:basedOn w:val="DefaultParagraphFont"/>
    <w:uiPriority w:val="21"/>
    <w:qFormat/>
    <w:rsid w:val="00E93649"/>
    <w:rPr>
      <w:i/>
      <w:iCs/>
      <w:color w:val="0F4761" w:themeColor="accent1" w:themeShade="BF"/>
    </w:rPr>
  </w:style>
  <w:style w:type="paragraph" w:styleId="IntenseQuote">
    <w:name w:val="Intense Quote"/>
    <w:basedOn w:val="Normal"/>
    <w:next w:val="Normal"/>
    <w:link w:val="IntenseQuoteChar"/>
    <w:uiPriority w:val="30"/>
    <w:qFormat/>
    <w:rsid w:val="00E93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649"/>
    <w:rPr>
      <w:i/>
      <w:iCs/>
      <w:color w:val="0F4761" w:themeColor="accent1" w:themeShade="BF"/>
    </w:rPr>
  </w:style>
  <w:style w:type="character" w:styleId="IntenseReference">
    <w:name w:val="Intense Reference"/>
    <w:basedOn w:val="DefaultParagraphFont"/>
    <w:uiPriority w:val="32"/>
    <w:qFormat/>
    <w:rsid w:val="00E93649"/>
    <w:rPr>
      <w:b/>
      <w:bCs/>
      <w:smallCaps/>
      <w:color w:val="0F4761" w:themeColor="accent1" w:themeShade="BF"/>
      <w:spacing w:val="5"/>
    </w:rPr>
  </w:style>
  <w:style w:type="character" w:styleId="Hyperlink">
    <w:name w:val="Hyperlink"/>
    <w:basedOn w:val="DefaultParagraphFont"/>
    <w:uiPriority w:val="99"/>
    <w:unhideWhenUsed/>
    <w:rsid w:val="00924F35"/>
    <w:rPr>
      <w:color w:val="467886" w:themeColor="hyperlink"/>
      <w:u w:val="single"/>
    </w:rPr>
  </w:style>
  <w:style w:type="character" w:styleId="UnresolvedMention">
    <w:name w:val="Unresolved Mention"/>
    <w:basedOn w:val="DefaultParagraphFont"/>
    <w:uiPriority w:val="99"/>
    <w:semiHidden/>
    <w:unhideWhenUsed/>
    <w:rsid w:val="00924F35"/>
    <w:rPr>
      <w:color w:val="605E5C"/>
      <w:shd w:val="clear" w:color="auto" w:fill="E1DFDD"/>
    </w:rPr>
  </w:style>
  <w:style w:type="paragraph" w:styleId="TOCHeading">
    <w:name w:val="TOC Heading"/>
    <w:basedOn w:val="Heading1"/>
    <w:next w:val="Normal"/>
    <w:uiPriority w:val="39"/>
    <w:unhideWhenUsed/>
    <w:qFormat/>
    <w:rsid w:val="004A3F28"/>
    <w:pPr>
      <w:spacing w:before="240" w:after="0" w:line="259" w:lineRule="auto"/>
      <w:outlineLvl w:val="9"/>
    </w:pPr>
    <w:rPr>
      <w:kern w:val="0"/>
      <w:sz w:val="32"/>
      <w:szCs w:val="32"/>
      <w:lang w:val="en-US"/>
      <w14:ligatures w14:val="none"/>
    </w:rPr>
  </w:style>
  <w:style w:type="paragraph" w:styleId="NormalWeb">
    <w:name w:val="Normal (Web)"/>
    <w:basedOn w:val="Normal"/>
    <w:uiPriority w:val="99"/>
    <w:unhideWhenUsed/>
    <w:rsid w:val="004A3F2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Header">
    <w:name w:val="header"/>
    <w:basedOn w:val="Normal"/>
    <w:link w:val="HeaderChar"/>
    <w:uiPriority w:val="99"/>
    <w:unhideWhenUsed/>
    <w:rsid w:val="000B5D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5DB6"/>
  </w:style>
  <w:style w:type="paragraph" w:styleId="Footer">
    <w:name w:val="footer"/>
    <w:basedOn w:val="Normal"/>
    <w:link w:val="FooterChar"/>
    <w:uiPriority w:val="99"/>
    <w:unhideWhenUsed/>
    <w:rsid w:val="000B5D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5D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document/d/1m9gHGefeFwPbKapEqN0JhtJBi_7uDknY3H4xjKAd_2g/edit?tab=t.0" TargetMode="External"/><Relationship Id="rId21" Type="http://schemas.openxmlformats.org/officeDocument/2006/relationships/hyperlink" Target="https://docs.google.com/document/d/1m9gHGefeFwPbKapEqN0JhtJBi_7uDknY3H4xjKAd_2g/edit?tab=t.0" TargetMode="External"/><Relationship Id="rId42" Type="http://schemas.openxmlformats.org/officeDocument/2006/relationships/hyperlink" Target="https://docs.google.com/document/d/1m9gHGefeFwPbKapEqN0JhtJBi_7uDknY3H4xjKAd_2g/edit?tab=t.0" TargetMode="External"/><Relationship Id="rId47" Type="http://schemas.openxmlformats.org/officeDocument/2006/relationships/hyperlink" Target="https://docs.google.com/document/d/1m9gHGefeFwPbKapEqN0JhtJBi_7uDknY3H4xjKAd_2g/edit?tab=t.0" TargetMode="External"/><Relationship Id="rId63" Type="http://schemas.openxmlformats.org/officeDocument/2006/relationships/hyperlink" Target="https://doi.org/10.1016/j.scitotenv.2018.02.330" TargetMode="External"/><Relationship Id="rId68" Type="http://schemas.openxmlformats.org/officeDocument/2006/relationships/hyperlink" Target="https://doi.org/10.3390/recycling6010009" TargetMode="External"/><Relationship Id="rId16" Type="http://schemas.openxmlformats.org/officeDocument/2006/relationships/hyperlink" Target="https://docs.google.com/document/d/1m9gHGefeFwPbKapEqN0JhtJBi_7uDknY3H4xjKAd_2g/edit?tab=t.0" TargetMode="External"/><Relationship Id="rId11" Type="http://schemas.openxmlformats.org/officeDocument/2006/relationships/hyperlink" Target="https://docs.google.com/document/d/1m9gHGefeFwPbKapEqN0JhtJBi_7uDknY3H4xjKAd_2g/edit?tab=t.0" TargetMode="External"/><Relationship Id="rId24" Type="http://schemas.openxmlformats.org/officeDocument/2006/relationships/hyperlink" Target="https://docs.google.com/document/d/1m9gHGefeFwPbKapEqN0JhtJBi_7uDknY3H4xjKAd_2g/edit?tab=t.0" TargetMode="External"/><Relationship Id="rId32" Type="http://schemas.openxmlformats.org/officeDocument/2006/relationships/hyperlink" Target="https://docs.google.com/document/d/1m9gHGefeFwPbKapEqN0JhtJBi_7uDknY3H4xjKAd_2g/edit?tab=t.0" TargetMode="External"/><Relationship Id="rId37" Type="http://schemas.openxmlformats.org/officeDocument/2006/relationships/hyperlink" Target="https://docs.google.com/document/d/1m9gHGefeFwPbKapEqN0JhtJBi_7uDknY3H4xjKAd_2g/edit?tab=t.0" TargetMode="External"/><Relationship Id="rId40" Type="http://schemas.openxmlformats.org/officeDocument/2006/relationships/hyperlink" Target="https://docs.google.com/document/d/1m9gHGefeFwPbKapEqN0JhtJBi_7uDknY3H4xjKAd_2g/edit?tab=t.0" TargetMode="External"/><Relationship Id="rId45" Type="http://schemas.openxmlformats.org/officeDocument/2006/relationships/hyperlink" Target="https://docs.google.com/document/d/1m9gHGefeFwPbKapEqN0JhtJBi_7uDknY3H4xjKAd_2g/edit?tab=t.0" TargetMode="External"/><Relationship Id="rId53" Type="http://schemas.openxmlformats.org/officeDocument/2006/relationships/hyperlink" Target="https://documents.packagingcovenant.org.au/public-documents/ARL%20Impact%20Framework%20Report%202023" TargetMode="External"/><Relationship Id="rId58" Type="http://schemas.openxmlformats.org/officeDocument/2006/relationships/hyperlink" Target="https://doi.org/10.3390/recycling7050064" TargetMode="External"/><Relationship Id="rId66" Type="http://schemas.openxmlformats.org/officeDocument/2006/relationships/hyperlink" Target="https://doi.org/10.1016/j.spc.2024.12.017" TargetMode="External"/><Relationship Id="rId74" Type="http://schemas.openxmlformats.org/officeDocument/2006/relationships/image" Target="media/image2.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eur-lex.europa.eu/legal-content/EN/TXT/?uri=OJ:L_202500040" TargetMode="External"/><Relationship Id="rId19" Type="http://schemas.openxmlformats.org/officeDocument/2006/relationships/hyperlink" Target="https://docs.google.com/document/d/1m9gHGefeFwPbKapEqN0JhtJBi_7uDknY3H4xjKAd_2g/edit?tab=t.0" TargetMode="External"/><Relationship Id="rId14" Type="http://schemas.openxmlformats.org/officeDocument/2006/relationships/hyperlink" Target="https://docs.google.com/document/d/1m9gHGefeFwPbKapEqN0JhtJBi_7uDknY3H4xjKAd_2g/edit?tab=t.0" TargetMode="External"/><Relationship Id="rId22" Type="http://schemas.openxmlformats.org/officeDocument/2006/relationships/hyperlink" Target="https://docs.google.com/document/d/1m9gHGefeFwPbKapEqN0JhtJBi_7uDknY3H4xjKAd_2g/edit?tab=t.0" TargetMode="External"/><Relationship Id="rId27" Type="http://schemas.openxmlformats.org/officeDocument/2006/relationships/hyperlink" Target="https://docs.google.com/document/d/1m9gHGefeFwPbKapEqN0JhtJBi_7uDknY3H4xjKAd_2g/edit?tab=t.0" TargetMode="External"/><Relationship Id="rId30" Type="http://schemas.openxmlformats.org/officeDocument/2006/relationships/hyperlink" Target="https://docs.google.com/document/d/1m9gHGefeFwPbKapEqN0JhtJBi_7uDknY3H4xjKAd_2g/edit?tab=t.0" TargetMode="External"/><Relationship Id="rId35" Type="http://schemas.openxmlformats.org/officeDocument/2006/relationships/hyperlink" Target="https://docs.google.com/document/d/1m9gHGefeFwPbKapEqN0JhtJBi_7uDknY3H4xjKAd_2g/edit?tab=t.0" TargetMode="External"/><Relationship Id="rId43" Type="http://schemas.openxmlformats.org/officeDocument/2006/relationships/hyperlink" Target="https://docs.google.com/document/d/1m9gHGefeFwPbKapEqN0JhtJBi_7uDknY3H4xjKAd_2g/edit?tab=t.0" TargetMode="External"/><Relationship Id="rId48" Type="http://schemas.openxmlformats.org/officeDocument/2006/relationships/hyperlink" Target="https://docs.google.com/document/d/1m9gHGefeFwPbKapEqN0JhtJBi_7uDknY3H4xjKAd_2g/edit?tab=t.0" TargetMode="External"/><Relationship Id="rId56" Type="http://schemas.openxmlformats.org/officeDocument/2006/relationships/hyperlink" Target="https://doi.org/10.1016/j.jclepro.2021.126966" TargetMode="External"/><Relationship Id="rId64" Type="http://schemas.openxmlformats.org/officeDocument/2006/relationships/hyperlink" Target="https://doi.org/10.1016/j.jclepro.2022.133127" TargetMode="External"/><Relationship Id="rId69" Type="http://schemas.openxmlformats.org/officeDocument/2006/relationships/hyperlink" Target="https://doi.org/10.1787/de747aef-en" TargetMode="External"/><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www.abc.net.au/news/2023-11-30/redcycle-soft-plastics-recycling-update/103135156" TargetMode="External"/><Relationship Id="rId72" Type="http://schemas.openxmlformats.org/officeDocument/2006/relationships/hyperlink" Target="https://doi.org/10.1007/s10163-024-01901-1" TargetMode="External"/><Relationship Id="rId3" Type="http://schemas.openxmlformats.org/officeDocument/2006/relationships/styles" Target="styles.xml"/><Relationship Id="rId12" Type="http://schemas.openxmlformats.org/officeDocument/2006/relationships/hyperlink" Target="https://docs.google.com/document/d/1m9gHGefeFwPbKapEqN0JhtJBi_7uDknY3H4xjKAd_2g/edit?tab=t.0" TargetMode="External"/><Relationship Id="rId17" Type="http://schemas.openxmlformats.org/officeDocument/2006/relationships/hyperlink" Target="https://docs.google.com/document/d/1m9gHGefeFwPbKapEqN0JhtJBi_7uDknY3H4xjKAd_2g/edit?tab=t.0" TargetMode="External"/><Relationship Id="rId25" Type="http://schemas.openxmlformats.org/officeDocument/2006/relationships/hyperlink" Target="https://docs.google.com/document/d/1m9gHGefeFwPbKapEqN0JhtJBi_7uDknY3H4xjKAd_2g/edit?tab=t.0" TargetMode="External"/><Relationship Id="rId33" Type="http://schemas.openxmlformats.org/officeDocument/2006/relationships/hyperlink" Target="https://docs.google.com/document/d/1m9gHGefeFwPbKapEqN0JhtJBi_7uDknY3H4xjKAd_2g/edit?tab=t.0" TargetMode="External"/><Relationship Id="rId38" Type="http://schemas.openxmlformats.org/officeDocument/2006/relationships/hyperlink" Target="https://docs.google.com/document/d/1m9gHGefeFwPbKapEqN0JhtJBi_7uDknY3H4xjKAd_2g/edit?tab=t.0" TargetMode="External"/><Relationship Id="rId46" Type="http://schemas.openxmlformats.org/officeDocument/2006/relationships/hyperlink" Target="https://docs.google.com/document/d/1m9gHGefeFwPbKapEqN0JhtJBi_7uDknY3H4xjKAd_2g/edit?tab=t.0" TargetMode="External"/><Relationship Id="rId59" Type="http://schemas.openxmlformats.org/officeDocument/2006/relationships/hyperlink" Target="https://www.csiro.au/-/media/News-releases/2021/Advanced-recycling-report/21-00312_REPORT_AdvancedRecycling_WEB.pdf" TargetMode="External"/><Relationship Id="rId67" Type="http://schemas.openxmlformats.org/officeDocument/2006/relationships/hyperlink" Target="https://doi.org/10.1016/j.ecolecon.2018.04.028" TargetMode="External"/><Relationship Id="rId20" Type="http://schemas.openxmlformats.org/officeDocument/2006/relationships/hyperlink" Target="https://docs.google.com/document/d/1m9gHGefeFwPbKapEqN0JhtJBi_7uDknY3H4xjKAd_2g/edit?tab=t.0" TargetMode="External"/><Relationship Id="rId41" Type="http://schemas.openxmlformats.org/officeDocument/2006/relationships/hyperlink" Target="https://docs.google.com/document/d/1m9gHGefeFwPbKapEqN0JhtJBi_7uDknY3H4xjKAd_2g/edit?tab=t.0" TargetMode="External"/><Relationship Id="rId54" Type="http://schemas.openxmlformats.org/officeDocument/2006/relationships/hyperlink" Target="https://apco.org.au/news/20YOl00000T9FYcMAN" TargetMode="External"/><Relationship Id="rId62" Type="http://schemas.openxmlformats.org/officeDocument/2006/relationships/hyperlink" Target="https://ec.europa.eu/eurostat/statistics-explained/index.php/Packaging_waste_statistics" TargetMode="External"/><Relationship Id="rId70" Type="http://schemas.openxmlformats.org/officeDocument/2006/relationships/hyperlink" Target="https://doi.org/10.1111/jiec.13429" TargetMode="External"/><Relationship Id="rId75"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google.com/document/d/1m9gHGefeFwPbKapEqN0JhtJBi_7uDknY3H4xjKAd_2g/edit?tab=t.0" TargetMode="External"/><Relationship Id="rId23" Type="http://schemas.openxmlformats.org/officeDocument/2006/relationships/hyperlink" Target="https://docs.google.com/document/d/1m9gHGefeFwPbKapEqN0JhtJBi_7uDknY3H4xjKAd_2g/edit?tab=t.0" TargetMode="External"/><Relationship Id="rId28" Type="http://schemas.openxmlformats.org/officeDocument/2006/relationships/hyperlink" Target="https://docs.google.com/document/d/1m9gHGefeFwPbKapEqN0JhtJBi_7uDknY3H4xjKAd_2g/edit?tab=t.0" TargetMode="External"/><Relationship Id="rId36" Type="http://schemas.openxmlformats.org/officeDocument/2006/relationships/hyperlink" Target="https://docs.google.com/document/d/1m9gHGefeFwPbKapEqN0JhtJBi_7uDknY3H4xjKAd_2g/edit?tab=t.0" TargetMode="External"/><Relationship Id="rId49" Type="http://schemas.openxmlformats.org/officeDocument/2006/relationships/hyperlink" Target="https://docs.google.com/document/d/1m9gHGefeFwPbKapEqN0JhtJBi_7uDknY3H4xjKAd_2g/edit?tab=t.0" TargetMode="External"/><Relationship Id="rId57" Type="http://schemas.openxmlformats.org/officeDocument/2006/relationships/hyperlink" Target="https://doi.org/10.1007/978-3-031-17299-1_3470" TargetMode="External"/><Relationship Id="rId10" Type="http://schemas.openxmlformats.org/officeDocument/2006/relationships/hyperlink" Target="https://docs.google.com/document/d/1m9gHGefeFwPbKapEqN0JhtJBi_7uDknY3H4xjKAd_2g/edit?tab=t.0" TargetMode="External"/><Relationship Id="rId31" Type="http://schemas.openxmlformats.org/officeDocument/2006/relationships/hyperlink" Target="https://docs.google.com/document/d/1m9gHGefeFwPbKapEqN0JhtJBi_7uDknY3H4xjKAd_2g/edit?tab=t.0" TargetMode="External"/><Relationship Id="rId44" Type="http://schemas.openxmlformats.org/officeDocument/2006/relationships/hyperlink" Target="https://docs.google.com/document/d/1m9gHGefeFwPbKapEqN0JhtJBi_7uDknY3H4xjKAd_2g/edit?tab=t.0" TargetMode="External"/><Relationship Id="rId52" Type="http://schemas.openxmlformats.org/officeDocument/2006/relationships/hyperlink" Target="https://acor.org.au/wp-content/uploads/2024/11/241122-ACOR-Plastic-recycling-and-regulations-in-Australia.pdf" TargetMode="External"/><Relationship Id="rId60" Type="http://schemas.openxmlformats.org/officeDocument/2006/relationships/hyperlink" Target="https://www.dcceew.gov.au/sites/default/files/documents/national-plastics-plan-2021.pdf" TargetMode="External"/><Relationship Id="rId65" Type="http://schemas.openxmlformats.org/officeDocument/2006/relationships/hyperlink" Target="https://www.aph.gov.au/Parliamentary_Business/Committees/House/Climate_Change_Energy_Environment_and_Water/Plasticpollution/Report/Chapter_2_-_The_effectiveness_of_the_plastics_management_framework_under_the_National_Plastics" TargetMode="External"/><Relationship Id="rId73" Type="http://schemas.openxmlformats.org/officeDocument/2006/relationships/hyperlink" Target="https://doi.org/10.1016/j.heliyon.2024.e32878"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google.com/document/d/1m9gHGefeFwPbKapEqN0JhtJBi_7uDknY3H4xjKAd_2g/edit?tab=t.0" TargetMode="External"/><Relationship Id="rId13" Type="http://schemas.openxmlformats.org/officeDocument/2006/relationships/hyperlink" Target="https://docs.google.com/document/d/1m9gHGefeFwPbKapEqN0JhtJBi_7uDknY3H4xjKAd_2g/edit?tab=t.0" TargetMode="External"/><Relationship Id="rId18" Type="http://schemas.openxmlformats.org/officeDocument/2006/relationships/hyperlink" Target="https://docs.google.com/document/d/1m9gHGefeFwPbKapEqN0JhtJBi_7uDknY3H4xjKAd_2g/edit?tab=t.0" TargetMode="External"/><Relationship Id="rId39" Type="http://schemas.openxmlformats.org/officeDocument/2006/relationships/hyperlink" Target="https://docs.google.com/document/d/1m9gHGefeFwPbKapEqN0JhtJBi_7uDknY3H4xjKAd_2g/edit?tab=t.0" TargetMode="External"/><Relationship Id="rId34" Type="http://schemas.openxmlformats.org/officeDocument/2006/relationships/hyperlink" Target="https://docs.google.com/document/d/1m9gHGefeFwPbKapEqN0JhtJBi_7uDknY3H4xjKAd_2g/edit?tab=t.0" TargetMode="External"/><Relationship Id="rId50" Type="http://schemas.openxmlformats.org/officeDocument/2006/relationships/hyperlink" Target="https://docs.google.com/document/d/1m9gHGefeFwPbKapEqN0JhtJBi_7uDknY3H4xjKAd_2g/edit?tab=t.0" TargetMode="External"/><Relationship Id="rId55" Type="http://schemas.openxmlformats.org/officeDocument/2006/relationships/hyperlink" Target="https://doi.org/10.1016/j.resconrec.2020.105030" TargetMode="External"/><Relationship Id="rId76" Type="http://schemas.openxmlformats.org/officeDocument/2006/relationships/image" Target="media/image4.png"/><Relationship Id="rId7" Type="http://schemas.openxmlformats.org/officeDocument/2006/relationships/endnotes" Target="endnotes.xml"/><Relationship Id="rId71" Type="http://schemas.openxmlformats.org/officeDocument/2006/relationships/hyperlink" Target="https://doi.org/10.1080/14486563.2024.2367960" TargetMode="External"/><Relationship Id="rId2" Type="http://schemas.openxmlformats.org/officeDocument/2006/relationships/numbering" Target="numbering.xml"/><Relationship Id="rId29" Type="http://schemas.openxmlformats.org/officeDocument/2006/relationships/hyperlink" Target="https://docs.google.com/document/d/1m9gHGefeFwPbKapEqN0JhtJBi_7uDknY3H4xjKAd_2g/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BE569-6B81-4C1D-B40E-7AA268956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21</Pages>
  <Words>7463</Words>
  <Characters>42541</Characters>
  <Application>Microsoft Office Word</Application>
  <DocSecurity>0</DocSecurity>
  <Lines>354</Lines>
  <Paragraphs>99</Paragraphs>
  <ScaleCrop>false</ScaleCrop>
  <Company/>
  <LinksUpToDate>false</LinksUpToDate>
  <CharactersWithSpaces>49905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Emor</dc:creator>
  <cp:keywords/>
  <dc:description/>
  <cp:lastModifiedBy>Joshua Emor</cp:lastModifiedBy>
  <cp:revision>21</cp:revision>
  <dcterms:created xsi:type="dcterms:W3CDTF">2026-09-13T13:28:00Z</dcterms:created>
  <dcterms:modified xsi:type="dcterms:W3CDTF">2026-09-13T14:03:00Z</dcterms:modified>
</cp:coreProperties>
</file>