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eastAsia="Times New Roman" w:cs="Times New Roman"/>
          <w:b/>
          <w:sz w:val="24"/>
        </w:rPr>
        <w:t>CS 320 Project Two: Summary and Reflections Report</w:t>
      </w:r>
    </w:p>
    <w:p>
      <w:pPr>
        <w:keepNext/>
        <w:keepLines w:val="0"/>
      </w:pPr>
      <w:r>
        <w:rPr>
          <w:rFonts w:ascii="Times New Roman" w:hAnsi="Times New Roman" w:eastAsia="Times New Roman" w:cs="Times New Roman"/>
          <w:b/>
          <w:sz w:val="24"/>
        </w:rPr>
        <w:t>Summary</w:t>
      </w:r>
    </w:p>
    <w:p>
      <w:pPr>
        <w:keepNext/>
        <w:keepLines w:val="0"/>
      </w:pPr>
      <w:r>
        <w:rPr>
          <w:rFonts w:ascii="Times New Roman" w:hAnsi="Times New Roman" w:eastAsia="Times New Roman" w:cs="Times New Roman"/>
          <w:b/>
          <w:sz w:val="24"/>
        </w:rPr>
        <w:t>Testing Approach and Alignment to Requirements</w:t>
      </w:r>
    </w:p>
    <w:p>
      <w:pPr>
        <w:keepLines w:val="0"/>
        <w:ind w:firstLine="720"/>
      </w:pPr>
      <w:r>
        <w:rPr>
          <w:rFonts w:ascii="Times New Roman" w:hAnsi="Times New Roman" w:eastAsia="Times New Roman" w:cs="Times New Roman"/>
          <w:sz w:val="24"/>
        </w:rPr>
        <w:t>For Project One, I treated the customer requirements as the starting point for my JUnit tests rather than writing tests only around code that already worked. The contact feature needed a permanent ID, valid names, a ten-digit phone number, and a limited-length address. ContactTest.java, lines 11–19, checks valid values at the maximum lengths, while lines 55–63 reject phone numbers with the wrong length or a nondigit character. ContactServiceTest.java, lines 15–33, checks duplicate IDs and deletion. Lines 36–47 verify that the four permitted fields change while the contact ID stays the same.</w:t>
      </w:r>
    </w:p>
    <w:p>
      <w:pPr>
        <w:keepLines w:val="0"/>
        <w:ind w:firstLine="720"/>
      </w:pPr>
      <w:r>
        <w:rPr>
          <w:rFonts w:ascii="Times New Roman" w:hAnsi="Times New Roman" w:eastAsia="Times New Roman" w:cs="Times New Roman"/>
          <w:sz w:val="24"/>
        </w:rPr>
        <w:t>I followed the same requirement-by-requirement approach for tasks. TaskTest.java, lines 6–12, accepts a 10-character ID, 20-character name, and 50-character description; lines 24–34 reject null or oversized values. TaskServiceTest.java, lines 36–49, confirms that names and descriptions can change without modifying the ID. For appointments, the important differences were the required future date and the absence of an update operation in the service requirements. AppointmentTest.java, lines 31–36, rejects null and past dates, and AppointmentServiceTest.java, lines 31–39, verifies deletion by ID. These checks connect directly to the three services requested by the client.</w:t>
      </w:r>
    </w:p>
    <w:p>
      <w:pPr>
        <w:keepNext/>
        <w:keepLines w:val="0"/>
      </w:pPr>
      <w:r>
        <w:rPr>
          <w:rFonts w:ascii="Times New Roman" w:hAnsi="Times New Roman" w:eastAsia="Times New Roman" w:cs="Times New Roman"/>
          <w:b/>
          <w:sz w:val="24"/>
        </w:rPr>
        <w:t>Test Effectiveness, Technical Soundness, and Efficiency</w:t>
      </w:r>
    </w:p>
    <w:p>
      <w:pPr>
        <w:keepLines w:val="0"/>
        <w:ind w:firstLine="720"/>
      </w:pPr>
      <w:r>
        <w:rPr>
          <w:rFonts w:ascii="Times New Roman" w:hAnsi="Times New Roman"/>
          <w:sz w:val="24"/>
        </w:rPr>
        <w:t>The six test files contain 36 test methods covering successful operations and expected failures. I compiled the project using Java 11 compatibility settings and executed all 36 test methods using a local runner with JUnit-compatible assertions; all 36 passed. To measure execution coverage, I used Java debugger breakpoints for every executable source line in the six implementation classes. The tests reached 138 of 138 executable lines, for 100% source-line coverage: Contact (29/29), ContactService (32/32), Task (18/18), TaskService (26/26), Appointment (16/16), and AppointmentService (17/17). The tests also address all 19 class and service requirement groups. This debugger-based result is not a JaCoCo report and does not measure branch coverage; a Maven JaCoCo run would still be needed for that tool’s official percentage. High line coverage is useful evidence of test thoroughness, but it does not guarantee correctness because an executed line can still produce an incorrect result (JaCoCo, n.d.).</w:t>
      </w:r>
    </w:p>
    <w:p>
      <w:pPr>
        <w:keepLines w:val="0"/>
        <w:ind w:firstLine="720"/>
      </w:pPr>
      <w:r>
        <w:rPr>
          <w:rFonts w:ascii="Times New Roman" w:hAnsi="Times New Roman" w:eastAsia="Times New Roman" w:cs="Times New Roman"/>
          <w:sz w:val="24"/>
        </w:rPr>
        <w:t>To keep the tests technically sound, I checked the result after a rejected operation instead of assuming that an exception meant everything was safe. In ContactServiceTest.java, lines 66–84, an invalid combined update must throw an exception and leave the original data unchanged. TaskServiceTest.java, lines 51–64, performs a similar check. I also tested a less obvious problem: java.util.Date is mutable. AppointmentTest.java, lines 57–66, changes the original and returned Date objects to confirm that the appointment preserves its saved date. For efficiency, ContactTest.java, lines 6–8, provides a reusable sample object, while AppointmentTest.java, lines 7–9, provides a reusable future-date helper. Each service test also creates its own in-memory service, avoiding dependence on test order. Small, independent tests are easier to rerun and debug.</w:t>
      </w:r>
    </w:p>
    <w:p>
      <w:pPr>
        <w:keepNext/>
        <w:keepLines w:val="0"/>
      </w:pPr>
      <w:r>
        <w:rPr>
          <w:rFonts w:ascii="Times New Roman" w:hAnsi="Times New Roman" w:eastAsia="Times New Roman" w:cs="Times New Roman"/>
          <w:b/>
          <w:sz w:val="24"/>
        </w:rPr>
        <w:t>Reflection</w:t>
      </w:r>
    </w:p>
    <w:p>
      <w:pPr>
        <w:keepNext/>
        <w:keepLines w:val="0"/>
      </w:pPr>
      <w:r>
        <w:rPr>
          <w:rFonts w:ascii="Times New Roman" w:hAnsi="Times New Roman" w:eastAsia="Times New Roman" w:cs="Times New Roman"/>
          <w:b/>
          <w:sz w:val="24"/>
        </w:rPr>
        <w:t>Testing Techniques and Their Uses</w:t>
      </w:r>
    </w:p>
    <w:p>
      <w:pPr>
        <w:keepLines w:val="0"/>
        <w:ind w:firstLine="720"/>
      </w:pPr>
      <w:r>
        <w:rPr>
          <w:rFonts w:ascii="Times New Roman" w:hAnsi="Times New Roman" w:eastAsia="Times New Roman" w:cs="Times New Roman"/>
          <w:sz w:val="24"/>
        </w:rPr>
        <w:t>The main techniques I used were automated unit testing, black-box functional testing, equivalence partitioning, boundary value analysis, and negative testing. Black-box testing compares behavior with requirements without depending on implementation details. For example, a contact phone number is either a valid 10-digit input or an invalid null, short, long, or nondigit input. Boundary tests focus on values at and just outside a limit, such as 50 versus 51 characters for a task description. These methods work well for forms, APIs, and services with explicit validation rules. I used a small amount of white-box testing too: ContactTest.java, lines 30–35, checks that the ID field is final and that no ID setter exists. These technique categories and their purposes are consistent with the ISTQB testing syllabus (International Software Testing Qualifications Board [ISTQB], 2024).</w:t>
      </w:r>
    </w:p>
    <w:p>
      <w:pPr>
        <w:keepLines w:val="0"/>
        <w:ind w:firstLine="720"/>
      </w:pPr>
      <w:r>
        <w:rPr>
          <w:rFonts w:ascii="Times New Roman" w:hAnsi="Times New Roman" w:eastAsia="Times New Roman" w:cs="Times New Roman"/>
          <w:sz w:val="24"/>
        </w:rPr>
        <w:t>Other useful techniques were outside this project’s scope. Integration testing would check whether these services work correctly with a database, network API, or authentication system. System and end-to-end tests would follow a complete user journey through a real mobile interface. Load testing would measure performance when many users create records simultaneously, and exploratory testing could reveal scenarios that scripted tests did not anticipate. Those approaches would matter much more in a deployed application, but Project One intentionally used in-memory storage and no interface. Unit tests were the efficient first layer, not a replacement for broader testing; larger systems need several testing levels (Vocke, 2018).</w:t>
      </w:r>
    </w:p>
    <w:p>
      <w:pPr>
        <w:keepNext/>
        <w:keepLines w:val="0"/>
      </w:pPr>
      <w:r>
        <w:rPr>
          <w:rFonts w:ascii="Times New Roman" w:hAnsi="Times New Roman" w:eastAsia="Times New Roman" w:cs="Times New Roman"/>
          <w:b/>
          <w:sz w:val="24"/>
        </w:rPr>
        <w:t>Caution, Bias, and Professional Discipline</w:t>
      </w:r>
    </w:p>
    <w:p>
      <w:pPr>
        <w:keepLines w:val="0"/>
        <w:ind w:firstLine="720"/>
      </w:pPr>
      <w:r>
        <w:rPr>
          <w:rFonts w:ascii="Times New Roman" w:hAnsi="Times New Roman" w:eastAsia="Times New Roman" w:cs="Times New Roman"/>
          <w:sz w:val="24"/>
        </w:rPr>
        <w:t>My testing mindset was cautious because one class can appear correct while breaking another class’s behavior. For example, the Contact object validates fields, but the ContactService must also prevent duplicate IDs and avoid partially saving an invalid update. The appointment date required extra caution because returning the internal Date directly would allow callers to change it after validation. Testing both the object and the service helped me consider these relationships instead of checking methods in isolation.</w:t>
      </w:r>
    </w:p>
    <w:p>
      <w:pPr>
        <w:keepLines w:val="0"/>
        <w:ind w:firstLine="720"/>
      </w:pPr>
      <w:r>
        <w:rPr>
          <w:rFonts w:ascii="Times New Roman" w:hAnsi="Times New Roman" w:eastAsia="Times New Roman" w:cs="Times New Roman"/>
          <w:sz w:val="24"/>
        </w:rPr>
        <w:t>Testing my own code also creates a risk of confirmation bias: I may naturally choose inputs that I already expect to pass. To limit that risk, I mapped tests to written requirements and deliberately used invalid inputs, nonexistent IDs, and duplicate IDs. I checked unchanged data after failures rather than just looking for exceptions. In future work, I would ask someone else to review edge cases and use coverage reports to identify methods I may have overlooked.</w:t>
      </w:r>
    </w:p>
    <w:p>
      <w:pPr>
        <w:keepLines w:val="0"/>
        <w:ind w:firstLine="720"/>
      </w:pPr>
      <w:r>
        <w:rPr>
          <w:rFonts w:ascii="Times New Roman" w:hAnsi="Times New Roman" w:eastAsia="Times New Roman" w:cs="Times New Roman"/>
          <w:sz w:val="24"/>
        </w:rPr>
        <w:t>I see discipline as making quality checks part of the work instead of something to squeeze in before submission. Skipping validation tests might save a few minutes but could leave defects that require much more effort to fix later. To manage technical debt, I plan to keep tests readable, add a regression test whenever I fix a bug, run the full suite after changes, and review coverage without treating it as proof of correctness. For a production version of these services, I would also add integration and performance tests before release.</w:t>
      </w:r>
    </w:p>
    <w:p>
      <w:pPr>
        <w:keepNext/>
        <w:keepLines w:val="0"/>
      </w:pPr>
      <w:r>
        <w:rPr>
          <w:rFonts w:ascii="Times New Roman" w:hAnsi="Times New Roman" w:eastAsia="Times New Roman" w:cs="Times New Roman"/>
          <w:b/>
          <w:sz w:val="24"/>
        </w:rPr>
        <w:t>References</w:t>
      </w:r>
    </w:p>
    <w:p>
      <w:pPr>
        <w:keepLines w:val="0"/>
        <w:ind w:left="720" w:hanging="720"/>
      </w:pPr>
      <w:r>
        <w:rPr>
          <w:rFonts w:ascii="Times New Roman" w:hAnsi="Times New Roman" w:eastAsia="Times New Roman" w:cs="Times New Roman"/>
          <w:sz w:val="24"/>
        </w:rPr>
        <w:t xml:space="preserve">International Software Testing Qualifications Board. (2024). </w:t>
      </w:r>
      <w:r>
        <w:rPr>
          <w:rFonts w:ascii="Times New Roman" w:hAnsi="Times New Roman" w:eastAsia="Times New Roman" w:cs="Times New Roman"/>
          <w:i/>
          <w:sz w:val="24"/>
        </w:rPr>
        <w:t>Certified tester foundation level syllabus (Version 4.0.1).</w:t>
      </w:r>
      <w:r>
        <w:rPr>
          <w:rFonts w:ascii="Times New Roman" w:hAnsi="Times New Roman" w:eastAsia="Times New Roman" w:cs="Times New Roman"/>
          <w:sz w:val="24"/>
        </w:rPr>
        <w:t xml:space="preserve"> https://istqb.org/wp-content/uploads/2024/11/ISTQB_CTFL_Syllabus_v4.0.1.pdf</w:t>
      </w:r>
    </w:p>
    <w:p>
      <w:pPr>
        <w:keepLines w:val="0"/>
        <w:ind w:left="720" w:hanging="720"/>
      </w:pPr>
      <w:r>
        <w:rPr>
          <w:rFonts w:ascii="Times New Roman" w:hAnsi="Times New Roman" w:eastAsia="Times New Roman" w:cs="Times New Roman"/>
          <w:sz w:val="24"/>
        </w:rPr>
        <w:t xml:space="preserve">JaCoCo. (n.d.). </w:t>
      </w:r>
      <w:r>
        <w:rPr>
          <w:rFonts w:ascii="Times New Roman" w:hAnsi="Times New Roman" w:eastAsia="Times New Roman" w:cs="Times New Roman"/>
          <w:i/>
          <w:sz w:val="24"/>
        </w:rPr>
        <w:t>Coverage counters.</w:t>
      </w:r>
      <w:r>
        <w:rPr>
          <w:rFonts w:ascii="Times New Roman" w:hAnsi="Times New Roman" w:eastAsia="Times New Roman" w:cs="Times New Roman"/>
          <w:sz w:val="24"/>
        </w:rPr>
        <w:t xml:space="preserve"> https://www.jacoco.org/jacoco/trunk/doc/counters.html</w:t>
      </w:r>
    </w:p>
    <w:p>
      <w:pPr>
        <w:keepLines w:val="0"/>
        <w:ind w:left="720" w:hanging="720"/>
      </w:pPr>
      <w:r>
        <w:rPr>
          <w:rFonts w:ascii="Times New Roman" w:hAnsi="Times New Roman" w:eastAsia="Times New Roman" w:cs="Times New Roman"/>
          <w:sz w:val="24"/>
        </w:rPr>
        <w:t xml:space="preserve">Vocke, H. (2018, February 26). </w:t>
      </w:r>
      <w:r>
        <w:rPr>
          <w:rFonts w:ascii="Times New Roman" w:hAnsi="Times New Roman" w:eastAsia="Times New Roman" w:cs="Times New Roman"/>
          <w:i/>
          <w:sz w:val="24"/>
        </w:rPr>
        <w:t>The practical test pyramid.</w:t>
      </w:r>
      <w:r>
        <w:rPr>
          <w:rFonts w:ascii="Times New Roman" w:hAnsi="Times New Roman" w:eastAsia="Times New Roman" w:cs="Times New Roman"/>
          <w:sz w:val="24"/>
        </w:rPr>
        <w:t xml:space="preserve"> Martin Fowler. https://martinfowler.com/articles/practical-test-pyramid.html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Summary and Reflections Report</dc:title>
  <dc:subject>Unit testing approach, experience, techniques, and reflection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