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rPr>
          <w:b/>
          <w:bCs/>
          <w:color w:val="1C2B4A"/>
          <w:sz w:val="52"/>
          <w:szCs w:val="52"/>
        </w:rPr>
        <w:t xml:space="preserve">PROJECT CONCORD</w:t>
      </w:r>
    </w:p>
    <w:p>
      <w:pPr>
        <w:spacing w:after="300" w:before="120"/>
        <w:jc w:val="center"/>
      </w:pPr>
      <w:r>
        <w:rPr>
          <w:color w:val="5B3A7A"/>
          <w:sz w:val="30"/>
          <w:szCs w:val="30"/>
        </w:rPr>
        <w:t xml:space="preserve">The Veridian Unified Data Platform</w:t>
      </w:r>
    </w:p>
    <w:p>
      <w:pPr>
        <w:spacing w:after="40"/>
        <w:jc w:val="center"/>
      </w:pPr>
      <w:r>
        <w:rPr>
          <w:b/>
          <w:bCs/>
          <w:sz w:val="26"/>
          <w:szCs w:val="26"/>
        </w:rPr>
        <w:t xml:space="preserve">Complete Project Report</w:t>
      </w:r>
    </w:p>
    <w:p>
      <w:pPr>
        <w:spacing w:after="400"/>
        <w:jc w:val="center"/>
      </w:pPr>
      <w:r>
        <w:rPr>
          <w:i/>
          <w:iCs/>
          <w:sz w:val="20"/>
          <w:szCs w:val="20"/>
        </w:rPr>
        <w:t xml:space="preserve">Submitted for Phase 5: Documentation and Presentation</w:t>
      </w:r>
    </w:p>
    <w:p>
      <w:pPr>
        <w:jc w:val="center"/>
      </w:pPr>
      <w:r>
        <w:rPr>
          <w:b/>
          <w:bCs/>
          <w:sz w:val="22"/>
          <w:szCs w:val="22"/>
        </w:rPr>
        <w:t xml:space="preserve">Prepared by: The Concord Six</w:t>
      </w:r>
    </w:p>
    <w:p>
      <w:pPr>
        <w:spacing w:after="20"/>
        <w:jc w:val="center"/>
      </w:pPr>
      <w:r>
        <w:rPr>
          <w:i/>
          <w:iCs/>
          <w:sz w:val="18"/>
          <w:szCs w:val="18"/>
        </w:rPr>
        <w:t xml:space="preserve">Reference: VCH-PC-2026-01</w:t>
      </w:r>
    </w:p>
    <w:p>
      <w:pPr>
        <w:spacing w:after="400"/>
        <w:jc w:val="center"/>
      </w:pPr>
      <w:r>
        <w:rPr>
          <w:sz w:val="18"/>
          <w:szCs w:val="18"/>
        </w:rPr>
        <w:t xml:space="preserve">Fiberesima Ibidabo Joshua (Team Lead) · Godsfavour James · Victor Umanah · Ola Aulewon · Kamsy Krystal · Kachi</w:t>
      </w:r>
    </w:p>
    <w:p>
      <w:r>
        <w:br w:type="page"/>
      </w:r>
    </w:p>
    <w:p>
      <w:pPr>
        <w:pStyle w:val="Heading1"/>
        <w:spacing w:after="18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Project Statement</w:t>
      </w:r>
    </w:p>
    <w:p>
      <w:pPr>
        <w:spacing w:after="160"/>
      </w:pPr>
      <w:r>
        <w:t xml:space="preserve">Veridian Consolidated Holdings (VCH) is a diversified group operating five divisions — Meridian Retail and Consumer, Concord Logistics, Veridian Financial Services, AgriCore, and Veridian Properties — across Nigeria, Ghana, and Kenya. Twenty years of growth through acquisition has left the group with five independent technology stacks that were never designed to communicate with one another. This fragmentation is not a data-availability problem; it is a data-connection problem, and it costs the group an estimated four to six percent of consolidated annual revenue each year in stockouts, idle assets, duplicated procurement, and missed cross-sell opportunities.</w:t>
      </w:r>
    </w:p>
    <w:p>
      <w:pPr>
        <w:spacing w:after="160"/>
      </w:pPr>
      <w:r>
        <w:t xml:space="preserve">Project Concord delivers a single, well-governed operational data platform — the Veridian Core Platform — built around a Core Services Hub of genuinely shared entities (customers, employees, suppliers, locations, products, and financial account references), surrounded by five divisional modules that model what is specific to each business. The operational system of record is PostgreSQL, hosted on Supabase; a separate analytical layer, populated through a scheduled Extract-Load-Transform pipeline into Google BigQuery, serves executive and divisional dashboards without ever touching live transactional performance.</w:t>
      </w:r>
    </w:p>
    <w:p>
      <w:pPr>
        <w:spacing w:after="160"/>
      </w:pPr>
      <w:r>
        <w:t xml:space="preserve">This is the third attempt at solving this problem. Two earlier attempts, in 2019 and 2022, failed for reasons that had nothing to do with technical skill and everything to do with scope: the first tried to model the entire group at production scale in four months and never shipped; the second specified over two hundred tables across a dual-platform strategy and delivered fewer than forty of them, meaningfully unused. This project is deliberately scoped to what a small, capable team can design, implement, populate, and defend.</w:t>
      </w:r>
    </w:p>
    <w:p>
      <w:pPr>
        <w:pStyle w:val="Heading2"/>
        <w:spacing w:after="140" w:before="260"/>
      </w:pPr>
      <w:r>
        <w:t xml:space="preserve">1.1 Definition of Success</w:t>
      </w:r>
    </w:p>
    <w:p>
      <w:pPr>
        <w:spacing w:after="160"/>
      </w:pPr>
      <w:r>
        <w:t xml:space="preserve">This project is judged successful if the platform can demonstrate, live, that it answers each of four real stakeholder scenarios — and, as of this report, every one of them has been built and proven against real, live data, not just designed on paper:</w:t>
      </w:r>
    </w:p>
    <w:p>
      <w:pPr>
        <w:pStyle w:val="ListParagraph"/>
        <w:numPr>
          <w:ilvl w:val="0"/>
          <w:numId w:val="1"/>
        </w:numPr>
        <w:spacing w:after="90"/>
      </w:pPr>
      <w:r>
        <w:t xml:space="preserve">Scenario 1 — a Meridian Retail store manager (Ngozi) sees an AgriCore supply shortfall signal before her shelves go empty.</w:t>
      </w:r>
    </w:p>
    <w:p>
      <w:pPr>
        <w:pStyle w:val="ListParagraph"/>
        <w:numPr>
          <w:ilvl w:val="0"/>
          <w:numId w:val="1"/>
        </w:numPr>
        <w:spacing w:after="90"/>
      </w:pPr>
      <w:r>
        <w:t xml:space="preserve">Scenario 2 — a Veridian Financial Services loan officer (Chinedu) sees a lawfully permissioned view of a smallholder farmer's AgriCore supply history when assessing a credit application.</w:t>
      </w:r>
    </w:p>
    <w:p>
      <w:pPr>
        <w:pStyle w:val="ListParagraph"/>
        <w:numPr>
          <w:ilvl w:val="0"/>
          <w:numId w:val="1"/>
        </w:numPr>
        <w:spacing w:after="90"/>
      </w:pPr>
      <w:r>
        <w:t xml:space="preserve">Scenario 3 — a Concord Logistics dispatcher (Funmi) sees current, accurate warehouse lease status instead of discovering a double-booking on arrival.</w:t>
      </w:r>
    </w:p>
    <w:p>
      <w:pPr>
        <w:pStyle w:val="ListParagraph"/>
        <w:numPr>
          <w:ilvl w:val="0"/>
          <w:numId w:val="1"/>
        </w:numPr>
        <w:spacing w:after="90"/>
      </w:pPr>
      <w:r>
        <w:t xml:space="preserve">Scenario 4 — the Group CEO (Adaeze) sees a same-day consolidated revenue view across all five divisions, instead of waiting twenty-one days for a manual close.</w:t>
      </w:r>
    </w:p>
    <w:p>
      <w:pPr>
        <w:spacing w:after="160"/>
      </w:pPr>
      <w:r>
        <w:t xml:space="preserve">All four are now live, working Looker Studio dashboard pages, connected to a BigQuery dataset populated by a working, tested ELT pipeline, itself fed by a fully implemented, secured, and populated PostgreSQL database on Supabase.</w:t>
      </w:r>
    </w:p>
    <w:p>
      <w:pPr>
        <w:pStyle w:val="Heading1"/>
        <w:spacing w:after="180" w:before="360"/>
      </w:pPr>
      <w:r>
        <w:t xml:space="preserve">2. Business Understanding</w:t>
      </w:r>
    </w:p>
    <w:p>
      <w:pPr>
        <w:pStyle w:val="Heading2"/>
        <w:spacing w:after="140" w:before="260"/>
      </w:pPr>
      <w:r>
        <w:t xml:space="preserve">2.1 Divisional Business Process Summary</w:t>
      </w:r>
    </w:p>
    <w:p>
      <w:pPr>
        <w:spacing w:after="160"/>
      </w:pPr>
      <w:r>
        <w:t xml:space="preserve">Understanding each division's real operational pain, before any schema design began, is what the client brief's own Phase 1 instruction requires. The summary below reflects that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2C2C2A" w:val="clear"/>
            <w:vAlign w:val="center"/>
          </w:tcPr>
          <w:p>
            <w:r>
              <w:rPr>
                <w:b/>
                <w:bCs/>
                <w:color w:val="FFFFFF"/>
                <w:sz w:val="20"/>
                <w:szCs w:val="20"/>
              </w:rPr>
              <w:t xml:space="preserve">Division</w:t>
            </w:r>
          </w:p>
        </w:tc>
        <w:tc>
          <w:tcPr>
            <w:tcW w:type="pct" w:w="30%"/>
            <w:shd w:fill="2C2C2A" w:val="clear"/>
            <w:vAlign w:val="center"/>
          </w:tcPr>
          <w:p>
            <w:r>
              <w:rPr>
                <w:b/>
                <w:bCs/>
                <w:color w:val="FFFFFF"/>
                <w:sz w:val="20"/>
                <w:szCs w:val="20"/>
              </w:rPr>
              <w:t xml:space="preserve">Scale</w:t>
            </w:r>
          </w:p>
        </w:tc>
        <w:tc>
          <w:tcPr>
            <w:tcW w:type="pct" w:w="48%"/>
            <w:shd w:fill="2C2C2A" w:val="clear"/>
            <w:vAlign w:val="center"/>
          </w:tcPr>
          <w:p>
            <w:r>
              <w:rPr>
                <w:b/>
                <w:bCs/>
                <w:color w:val="FFFFFF"/>
                <w:sz w:val="20"/>
                <w:szCs w:val="20"/>
              </w:rPr>
              <w:t xml:space="preserve">Core operational pain point</w:t>
            </w:r>
          </w:p>
        </w:tc>
      </w:tr>
      <w:tr>
        <w:tc>
          <w:tcPr>
            <w:tcW w:type="pct" w:w="22%"/>
            <w:vAlign w:val="center"/>
          </w:tcPr>
          <w:p>
            <w:r>
              <w:rPr>
                <w:b w:val="false"/>
                <w:bCs w:val="false"/>
                <w:sz w:val="20"/>
                <w:szCs w:val="20"/>
              </w:rPr>
              <w:t xml:space="preserve">Meridian Retail and Consumer</w:t>
            </w:r>
          </w:p>
        </w:tc>
        <w:tc>
          <w:tcPr>
            <w:tcW w:type="pct" w:w="30%"/>
            <w:vAlign w:val="center"/>
          </w:tcPr>
          <w:p>
            <w:r>
              <w:rPr>
                <w:b w:val="false"/>
                <w:bCs w:val="false"/>
                <w:sz w:val="20"/>
                <w:szCs w:val="20"/>
              </w:rPr>
              <w:t xml:space="preserve">68 supermarket branches across Nigeria and Ghana, plus MeridianGo (online).</w:t>
            </w:r>
          </w:p>
        </w:tc>
        <w:tc>
          <w:tcPr>
            <w:tcW w:type="pct" w:w="48%"/>
            <w:vAlign w:val="center"/>
          </w:tcPr>
          <w:p>
            <w:r>
              <w:rPr>
                <w:b w:val="false"/>
                <w:bCs w:val="false"/>
                <w:sz w:val="20"/>
                <w:szCs w:val="20"/>
              </w:rPr>
              <w:t xml:space="preserve">Store-level POS runs on an inaccessible proprietary backend; weekly inventory reconciliation shows a 3–8% discrepancy; loyalty data has never been connected to the wallet product despite real overlap.</w:t>
            </w:r>
          </w:p>
        </w:tc>
      </w:tr>
      <w:tr>
        <w:tc>
          <w:tcPr>
            <w:tcW w:type="pct" w:w="22%"/>
            <w:vAlign w:val="center"/>
          </w:tcPr>
          <w:p>
            <w:r>
              <w:rPr>
                <w:b w:val="false"/>
                <w:bCs w:val="false"/>
                <w:sz w:val="20"/>
                <w:szCs w:val="20"/>
              </w:rPr>
              <w:t xml:space="preserve">Concord Logistics</w:t>
            </w:r>
          </w:p>
        </w:tc>
        <w:tc>
          <w:tcPr>
            <w:tcW w:type="pct" w:w="30%"/>
            <w:vAlign w:val="center"/>
          </w:tcPr>
          <w:p>
            <w:r>
              <w:rPr>
                <w:b w:val="false"/>
                <w:bCs w:val="false"/>
                <w:sz w:val="20"/>
                <w:szCs w:val="20"/>
              </w:rPr>
              <w:t xml:space="preserve">310 vehicles, 6 regional warehouses; 55% of freight volume is internal, 45% third-party.</w:t>
            </w:r>
          </w:p>
        </w:tc>
        <w:tc>
          <w:tcPr>
            <w:tcW w:type="pct" w:w="48%"/>
            <w:vAlign w:val="center"/>
          </w:tcPr>
          <w:p>
            <w:r>
              <w:rPr>
                <w:b w:val="false"/>
                <w:bCs w:val="false"/>
                <w:sz w:val="20"/>
                <w:szCs w:val="20"/>
              </w:rPr>
              <w:t xml:space="preserve">Dispatch runs on a mobile app, spreadsheets, and WhatsApp; cannot answer which routes are least profitable; warehouse leases from Properties are not visible to logistics operations, causing real billing errors.</w:t>
            </w:r>
          </w:p>
        </w:tc>
      </w:tr>
      <w:tr>
        <w:tc>
          <w:tcPr>
            <w:tcW w:type="pct" w:w="22%"/>
            <w:vAlign w:val="center"/>
          </w:tcPr>
          <w:p>
            <w:r>
              <w:rPr>
                <w:b w:val="false"/>
                <w:bCs w:val="false"/>
                <w:sz w:val="20"/>
                <w:szCs w:val="20"/>
              </w:rPr>
              <w:t xml:space="preserve">Veridian Financial Services</w:t>
            </w:r>
          </w:p>
        </w:tc>
        <w:tc>
          <w:tcPr>
            <w:tcW w:type="pct" w:w="30%"/>
            <w:vAlign w:val="center"/>
          </w:tcPr>
          <w:p>
            <w:r>
              <w:rPr>
                <w:b w:val="false"/>
                <w:bCs w:val="false"/>
                <w:sz w:val="20"/>
                <w:szCs w:val="20"/>
              </w:rPr>
              <w:t xml:space="preserve">Licensed microfinance institution, Central Bank regulated.</w:t>
            </w:r>
          </w:p>
        </w:tc>
        <w:tc>
          <w:tcPr>
            <w:tcW w:type="pct" w:w="48%"/>
            <w:vAlign w:val="center"/>
          </w:tcPr>
          <w:p>
            <w:r>
              <w:rPr>
                <w:b w:val="false"/>
                <w:bCs w:val="false"/>
                <w:sz w:val="20"/>
                <w:szCs w:val="20"/>
              </w:rPr>
              <w:t xml:space="preserve">Core banking platform must remain untouched for regulatory reasons; loan officers see only 2 years of banking history with no lawful visibility into a farmer's much longer AgriCore supply record.</w:t>
            </w:r>
          </w:p>
        </w:tc>
      </w:tr>
      <w:tr>
        <w:tc>
          <w:tcPr>
            <w:tcW w:type="pct" w:w="22%"/>
            <w:vAlign w:val="center"/>
          </w:tcPr>
          <w:p>
            <w:r>
              <w:rPr>
                <w:b w:val="false"/>
                <w:bCs w:val="false"/>
                <w:sz w:val="20"/>
                <w:szCs w:val="20"/>
              </w:rPr>
              <w:t xml:space="preserve">AgriCore</w:t>
            </w:r>
          </w:p>
        </w:tc>
        <w:tc>
          <w:tcPr>
            <w:tcW w:type="pct" w:w="30%"/>
            <w:vAlign w:val="center"/>
          </w:tcPr>
          <w:p>
            <w:r>
              <w:rPr>
                <w:b w:val="false"/>
                <w:bCs w:val="false"/>
                <w:sz w:val="20"/>
                <w:szCs w:val="20"/>
              </w:rPr>
              <w:t xml:space="preserve">~22,000 registered smallholder farmers, four processing facilities.</w:t>
            </w:r>
          </w:p>
        </w:tc>
        <w:tc>
          <w:tcPr>
            <w:tcW w:type="pct" w:w="48%"/>
            <w:vAlign w:val="center"/>
          </w:tcPr>
          <w:p>
            <w:r>
              <w:rPr>
                <w:b w:val="false"/>
                <w:bCs w:val="false"/>
                <w:sz w:val="20"/>
                <w:szCs w:val="20"/>
              </w:rPr>
              <w:t xml:space="preserve">Field data collection and facility processing share no common identifier; reconstructing one harvest's provenance takes an estimated six working days of staff time per month.</w:t>
            </w:r>
          </w:p>
        </w:tc>
      </w:tr>
      <w:tr>
        <w:tc>
          <w:tcPr>
            <w:tcW w:type="pct" w:w="22%"/>
            <w:vAlign w:val="center"/>
          </w:tcPr>
          <w:p>
            <w:r>
              <w:rPr>
                <w:b w:val="false"/>
                <w:bCs w:val="false"/>
                <w:sz w:val="20"/>
                <w:szCs w:val="20"/>
              </w:rPr>
              <w:t xml:space="preserve">Veridian Properties</w:t>
            </w:r>
          </w:p>
        </w:tc>
        <w:tc>
          <w:tcPr>
            <w:tcW w:type="pct" w:w="30%"/>
            <w:vAlign w:val="center"/>
          </w:tcPr>
          <w:p>
            <w:r>
              <w:rPr>
                <w:b w:val="false"/>
                <w:bCs w:val="false"/>
                <w:sz w:val="20"/>
                <w:szCs w:val="20"/>
              </w:rPr>
              <w:t xml:space="preserve">94 managed properties across store premises, warehouses, and external tenancies.</w:t>
            </w:r>
          </w:p>
        </w:tc>
        <w:tc>
          <w:tcPr>
            <w:tcW w:type="pct" w:w="48%"/>
            <w:vAlign w:val="center"/>
          </w:tcPr>
          <w:p>
            <w:r>
              <w:rPr>
                <w:b w:val="false"/>
                <w:bCs w:val="false"/>
                <w:sz w:val="20"/>
                <w:szCs w:val="20"/>
              </w:rPr>
              <w:t xml:space="preserve">Lease and maintenance records live in spreadsheets and email; the division cannot answer basic portfolio questions like which properties are approaching renewal.</w:t>
            </w:r>
          </w:p>
        </w:tc>
      </w:tr>
    </w:tbl>
    <w:p>
      <w:pPr>
        <w:pStyle w:val="Heading2"/>
        <w:spacing w:after="140" w:before="260"/>
      </w:pPr>
      <w:r>
        <w:t xml:space="preserve">2.2 Core Services Hub Justification</w:t>
      </w:r>
    </w:p>
    <w:p>
      <w:pPr>
        <w:spacing w:after="160"/>
      </w:pPr>
      <w:r>
        <w:t xml:space="preserve">Section 4.1 of the client brief sets the test for what belongs in the Core Services Hub: an entity qualifies only if it appears explicitly in at least two of the four stakeholder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2C2C2A" w:val="clear"/>
            <w:vAlign w:val="center"/>
          </w:tcPr>
          <w:p>
            <w:r>
              <w:rPr>
                <w:b/>
                <w:bCs/>
                <w:color w:val="FFFFFF"/>
                <w:sz w:val="20"/>
                <w:szCs w:val="20"/>
              </w:rPr>
              <w:t xml:space="preserve">Hub entity</w:t>
            </w:r>
          </w:p>
        </w:tc>
        <w:tc>
          <w:tcPr>
            <w:tcW w:type="pct" w:w="78%"/>
            <w:shd w:fill="2C2C2A" w:val="clear"/>
            <w:vAlign w:val="center"/>
          </w:tcPr>
          <w:p>
            <w:r>
              <w:rPr>
                <w:b/>
                <w:bCs/>
                <w:color w:val="FFFFFF"/>
                <w:sz w:val="20"/>
                <w:szCs w:val="20"/>
              </w:rPr>
              <w:t xml:space="preserve">Justification (2+ scenario test)</w:t>
            </w:r>
          </w:p>
        </w:tc>
      </w:tr>
      <w:tr>
        <w:tc>
          <w:tcPr>
            <w:tcW w:type="pct" w:w="22%"/>
            <w:vAlign w:val="center"/>
          </w:tcPr>
          <w:p>
            <w:r>
              <w:rPr>
                <w:b w:val="false"/>
                <w:bCs w:val="false"/>
                <w:sz w:val="20"/>
                <w:szCs w:val="20"/>
              </w:rPr>
              <w:t xml:space="preserve">hub_customers</w:t>
            </w:r>
          </w:p>
        </w:tc>
        <w:tc>
          <w:tcPr>
            <w:tcW w:type="pct" w:w="78%"/>
            <w:vAlign w:val="center"/>
          </w:tcPr>
          <w:p>
            <w:r>
              <w:rPr>
                <w:b w:val="false"/>
                <w:bCs w:val="false"/>
                <w:sz w:val="20"/>
                <w:szCs w:val="20"/>
              </w:rPr>
              <w:t xml:space="preserve">Scenarios 2 and 4 — the shared identity behind Chinedu's credit assessment and the loyalty/wallet overlap question central to the group's fragmentation problem.</w:t>
            </w:r>
          </w:p>
        </w:tc>
      </w:tr>
      <w:tr>
        <w:tc>
          <w:tcPr>
            <w:tcW w:type="pct" w:w="22%"/>
            <w:vAlign w:val="center"/>
          </w:tcPr>
          <w:p>
            <w:r>
              <w:rPr>
                <w:b w:val="false"/>
                <w:bCs w:val="false"/>
                <w:sz w:val="20"/>
                <w:szCs w:val="20"/>
              </w:rPr>
              <w:t xml:space="preserve">hub_employees</w:t>
            </w:r>
          </w:p>
        </w:tc>
        <w:tc>
          <w:tcPr>
            <w:tcW w:type="pct" w:w="78%"/>
            <w:vAlign w:val="center"/>
          </w:tcPr>
          <w:p>
            <w:r>
              <w:rPr>
                <w:b w:val="false"/>
                <w:bCs w:val="false"/>
                <w:sz w:val="20"/>
                <w:szCs w:val="20"/>
              </w:rPr>
              <w:t xml:space="preserve">Referenced across Retail, Logistics, and AgriCore modules — a single staff identity reused across at least three divisions.</w:t>
            </w:r>
          </w:p>
        </w:tc>
      </w:tr>
      <w:tr>
        <w:tc>
          <w:tcPr>
            <w:tcW w:type="pct" w:w="22%"/>
            <w:vAlign w:val="center"/>
          </w:tcPr>
          <w:p>
            <w:r>
              <w:rPr>
                <w:b w:val="false"/>
                <w:bCs w:val="false"/>
                <w:sz w:val="20"/>
                <w:szCs w:val="20"/>
              </w:rPr>
              <w:t xml:space="preserve">hub_suppliers</w:t>
            </w:r>
          </w:p>
        </w:tc>
        <w:tc>
          <w:tcPr>
            <w:tcW w:type="pct" w:w="78%"/>
            <w:vAlign w:val="center"/>
          </w:tcPr>
          <w:p>
            <w:r>
              <w:rPr>
                <w:b w:val="false"/>
                <w:bCs w:val="false"/>
                <w:sz w:val="20"/>
                <w:szCs w:val="20"/>
              </w:rPr>
              <w:t xml:space="preserve">Scenarios 1 and 2 — the entity that makes the farmer/supplier duality representable at all.</w:t>
            </w:r>
          </w:p>
        </w:tc>
      </w:tr>
      <w:tr>
        <w:tc>
          <w:tcPr>
            <w:tcW w:type="pct" w:w="22%"/>
            <w:vAlign w:val="center"/>
          </w:tcPr>
          <w:p>
            <w:r>
              <w:rPr>
                <w:b w:val="false"/>
                <w:bCs w:val="false"/>
                <w:sz w:val="20"/>
                <w:szCs w:val="20"/>
              </w:rPr>
              <w:t xml:space="preserve">hub_locations</w:t>
            </w:r>
          </w:p>
        </w:tc>
        <w:tc>
          <w:tcPr>
            <w:tcW w:type="pct" w:w="78%"/>
            <w:vAlign w:val="center"/>
          </w:tcPr>
          <w:p>
            <w:r>
              <w:rPr>
                <w:b w:val="false"/>
                <w:bCs w:val="false"/>
                <w:sz w:val="20"/>
                <w:szCs w:val="20"/>
              </w:rPr>
              <w:t xml:space="preserve">Scenarios 1 and 3 — the shared address standard connecting AgriCore, Logistics, Retail, and Properties.</w:t>
            </w:r>
          </w:p>
        </w:tc>
      </w:tr>
      <w:tr>
        <w:tc>
          <w:tcPr>
            <w:tcW w:type="pct" w:w="22%"/>
            <w:vAlign w:val="center"/>
          </w:tcPr>
          <w:p>
            <w:r>
              <w:rPr>
                <w:b w:val="false"/>
                <w:bCs w:val="false"/>
                <w:sz w:val="20"/>
                <w:szCs w:val="20"/>
              </w:rPr>
              <w:t xml:space="preserve">hub_products</w:t>
            </w:r>
          </w:p>
        </w:tc>
        <w:tc>
          <w:tcPr>
            <w:tcW w:type="pct" w:w="78%"/>
            <w:vAlign w:val="center"/>
          </w:tcPr>
          <w:p>
            <w:r>
              <w:rPr>
                <w:b w:val="false"/>
                <w:bCs w:val="false"/>
                <w:sz w:val="20"/>
                <w:szCs w:val="20"/>
              </w:rPr>
              <w:t xml:space="preserve">Scenario 1 — the same product record is referenced by an AgriCore harvest batch and a Retail line item.</w:t>
            </w:r>
          </w:p>
        </w:tc>
      </w:tr>
      <w:tr>
        <w:tc>
          <w:tcPr>
            <w:tcW w:type="pct" w:w="22%"/>
            <w:vAlign w:val="center"/>
          </w:tcPr>
          <w:p>
            <w:r>
              <w:rPr>
                <w:b w:val="false"/>
                <w:bCs w:val="false"/>
                <w:sz w:val="20"/>
                <w:szCs w:val="20"/>
              </w:rPr>
              <w:t xml:space="preserve">hub_financial_account_refs</w:t>
            </w:r>
          </w:p>
        </w:tc>
        <w:tc>
          <w:tcPr>
            <w:tcW w:type="pct" w:w="78%"/>
            <w:vAlign w:val="center"/>
          </w:tcPr>
          <w:p>
            <w:r>
              <w:rPr>
                <w:b w:val="false"/>
                <w:bCs w:val="false"/>
                <w:sz w:val="20"/>
                <w:szCs w:val="20"/>
              </w:rPr>
              <w:t xml:space="preserve">Scenario 2 and the Section 2.3 regulatory boundary — a non-sensitive pointer into VFS without exposing regulated core banking data.</w:t>
            </w:r>
          </w:p>
        </w:tc>
      </w:tr>
    </w:tbl>
    <w:p>
      <w:pPr>
        <w:pStyle w:val="Heading1"/>
        <w:spacing w:after="180" w:before="360"/>
      </w:pPr>
      <w:r>
        <w:t xml:space="preserve">3. Requirements Traceability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2%"/>
            <w:shd w:fill="2C2C2A" w:val="clear"/>
            <w:vAlign w:val="center"/>
          </w:tcPr>
          <w:p>
            <w:r>
              <w:rPr>
                <w:b/>
                <w:bCs/>
                <w:color w:val="FFFFFF"/>
                <w:sz w:val="20"/>
                <w:szCs w:val="20"/>
              </w:rPr>
              <w:t xml:space="preserve">Requirement</w:t>
            </w:r>
          </w:p>
        </w:tc>
        <w:tc>
          <w:tcPr>
            <w:tcW w:type="pct" w:w="16%"/>
            <w:shd w:fill="2C2C2A" w:val="clear"/>
            <w:vAlign w:val="center"/>
          </w:tcPr>
          <w:p>
            <w:r>
              <w:rPr>
                <w:b/>
                <w:bCs/>
                <w:color w:val="FFFFFF"/>
                <w:sz w:val="20"/>
                <w:szCs w:val="20"/>
              </w:rPr>
              <w:t xml:space="preserve">Status</w:t>
            </w:r>
          </w:p>
        </w:tc>
        <w:tc>
          <w:tcPr>
            <w:tcW w:type="pct" w:w="52%"/>
            <w:shd w:fill="2C2C2A" w:val="clear"/>
            <w:vAlign w:val="center"/>
          </w:tcPr>
          <w:p>
            <w:r>
              <w:rPr>
                <w:b/>
                <w:bCs/>
                <w:color w:val="FFFFFF"/>
                <w:sz w:val="20"/>
                <w:szCs w:val="20"/>
              </w:rPr>
              <w:t xml:space="preserve">Evidence</w:t>
            </w:r>
          </w:p>
        </w:tc>
      </w:tr>
      <w:tr>
        <w:tc>
          <w:tcPr>
            <w:tcW w:type="pct" w:w="32%"/>
            <w:vAlign w:val="center"/>
          </w:tcPr>
          <w:p>
            <w:r>
              <w:rPr>
                <w:b w:val="false"/>
                <w:bCs w:val="false"/>
                <w:sz w:val="20"/>
                <w:szCs w:val="20"/>
              </w:rPr>
              <w:t xml:space="preserve">Single PostgreSQL schema on Supabase, Core Hub + 5 modules</w:t>
            </w:r>
          </w:p>
        </w:tc>
        <w:tc>
          <w:tcPr>
            <w:tcW w:type="pct" w:w="16%"/>
            <w:vAlign w:val="center"/>
          </w:tcPr>
          <w:p>
            <w:r>
              <w:rPr>
                <w:b w:val="false"/>
                <w:bCs w:val="false"/>
                <w:sz w:val="20"/>
                <w:szCs w:val="20"/>
              </w:rPr>
              <w:t xml:space="preserve">Complete</w:t>
            </w:r>
          </w:p>
        </w:tc>
        <w:tc>
          <w:tcPr>
            <w:tcW w:type="pct" w:w="52%"/>
            <w:vAlign w:val="center"/>
          </w:tcPr>
          <w:p>
            <w:r>
              <w:rPr>
                <w:b w:val="false"/>
                <w:bCs w:val="false"/>
                <w:sz w:val="20"/>
                <w:szCs w:val="20"/>
              </w:rPr>
              <w:t xml:space="preserve">40 tables live on the team's Supabase project, executed with zero errors.</w:t>
            </w:r>
          </w:p>
        </w:tc>
      </w:tr>
      <w:tr>
        <w:tc>
          <w:tcPr>
            <w:tcW w:type="pct" w:w="32%"/>
            <w:vAlign w:val="center"/>
          </w:tcPr>
          <w:p>
            <w:r>
              <w:rPr>
                <w:b w:val="false"/>
                <w:bCs w:val="false"/>
                <w:sz w:val="20"/>
                <w:szCs w:val="20"/>
              </w:rPr>
              <w:t xml:space="preserve">Row Level Security + role definitions</w:t>
            </w:r>
          </w:p>
        </w:tc>
        <w:tc>
          <w:tcPr>
            <w:tcW w:type="pct" w:w="16%"/>
            <w:vAlign w:val="center"/>
          </w:tcPr>
          <w:p>
            <w:r>
              <w:rPr>
                <w:b w:val="false"/>
                <w:bCs w:val="false"/>
                <w:sz w:val="20"/>
                <w:szCs w:val="20"/>
              </w:rPr>
              <w:t xml:space="preserve">Complete</w:t>
            </w:r>
          </w:p>
        </w:tc>
        <w:tc>
          <w:tcPr>
            <w:tcW w:type="pct" w:w="52%"/>
            <w:vAlign w:val="center"/>
          </w:tcPr>
          <w:p>
            <w:r>
              <w:rPr>
                <w:b w:val="false"/>
                <w:bCs w:val="false"/>
                <w:sz w:val="20"/>
                <w:szCs w:val="20"/>
              </w:rPr>
              <w:t xml:space="preserve">6 roles, 40/40 tables RLS-enabled, 44 policies, verified directly against pg_policies.</w:t>
            </w:r>
          </w:p>
        </w:tc>
      </w:tr>
      <w:tr>
        <w:tc>
          <w:tcPr>
            <w:tcW w:type="pct" w:w="32%"/>
            <w:vAlign w:val="center"/>
          </w:tcPr>
          <w:p>
            <w:r>
              <w:rPr>
                <w:b w:val="false"/>
                <w:bCs w:val="false"/>
                <w:sz w:val="20"/>
                <w:szCs w:val="20"/>
              </w:rPr>
              <w:t xml:space="preserve">Consent-flag mechanism</w:t>
            </w:r>
          </w:p>
        </w:tc>
        <w:tc>
          <w:tcPr>
            <w:tcW w:type="pct" w:w="16%"/>
            <w:vAlign w:val="center"/>
          </w:tcPr>
          <w:p>
            <w:r>
              <w:rPr>
                <w:b w:val="false"/>
                <w:bCs w:val="false"/>
                <w:sz w:val="20"/>
                <w:szCs w:val="20"/>
              </w:rPr>
              <w:t xml:space="preserve">Complete</w:t>
            </w:r>
          </w:p>
        </w:tc>
        <w:tc>
          <w:tcPr>
            <w:tcW w:type="pct" w:w="52%"/>
            <w:vAlign w:val="center"/>
          </w:tcPr>
          <w:p>
            <w:r>
              <w:rPr>
                <w:b w:val="false"/>
                <w:bCs w:val="false"/>
                <w:sz w:val="20"/>
                <w:szCs w:val="20"/>
              </w:rPr>
              <w:t xml:space="preserve">3 boolean consent columns on hub_customers; 2 consent-gated views.</w:t>
            </w:r>
          </w:p>
        </w:tc>
      </w:tr>
      <w:tr>
        <w:tc>
          <w:tcPr>
            <w:tcW w:type="pct" w:w="32%"/>
            <w:vAlign w:val="center"/>
          </w:tcPr>
          <w:p>
            <w:r>
              <w:rPr>
                <w:b w:val="false"/>
                <w:bCs w:val="false"/>
                <w:sz w:val="20"/>
                <w:szCs w:val="20"/>
              </w:rPr>
              <w:t xml:space="preserve">Realistic synthetic data, documented reproducible method</w:t>
            </w:r>
          </w:p>
        </w:tc>
        <w:tc>
          <w:tcPr>
            <w:tcW w:type="pct" w:w="16%"/>
            <w:vAlign w:val="center"/>
          </w:tcPr>
          <w:p>
            <w:r>
              <w:rPr>
                <w:b w:val="false"/>
                <w:bCs w:val="false"/>
                <w:sz w:val="20"/>
                <w:szCs w:val="20"/>
              </w:rPr>
              <w:t xml:space="preserve">Complete</w:t>
            </w:r>
          </w:p>
        </w:tc>
        <w:tc>
          <w:tcPr>
            <w:tcW w:type="pct" w:w="52%"/>
            <w:vAlign w:val="center"/>
          </w:tcPr>
          <w:p>
            <w:r>
              <w:rPr>
                <w:b w:val="false"/>
                <w:bCs w:val="false"/>
                <w:sz w:val="20"/>
                <w:szCs w:val="20"/>
              </w:rPr>
              <w:t xml:space="preserve">generate_synthetic_data.py, 506,775 rows loaded and verified live on Supabase via direct COUNT(*).</w:t>
            </w:r>
          </w:p>
        </w:tc>
      </w:tr>
      <w:tr>
        <w:tc>
          <w:tcPr>
            <w:tcW w:type="pct" w:w="32%"/>
            <w:vAlign w:val="center"/>
          </w:tcPr>
          <w:p>
            <w:r>
              <w:rPr>
                <w:b w:val="false"/>
                <w:bCs w:val="false"/>
                <w:sz w:val="20"/>
                <w:szCs w:val="20"/>
              </w:rPr>
              <w:t xml:space="preserve">Scheduled ELT into BigQuery, curated/consent-checked only</w:t>
            </w:r>
          </w:p>
        </w:tc>
        <w:tc>
          <w:tcPr>
            <w:tcW w:type="pct" w:w="16%"/>
            <w:vAlign w:val="center"/>
          </w:tcPr>
          <w:p>
            <w:r>
              <w:rPr>
                <w:b w:val="false"/>
                <w:bCs w:val="false"/>
                <w:sz w:val="20"/>
                <w:szCs w:val="20"/>
              </w:rPr>
              <w:t xml:space="preserve">Complete</w:t>
            </w:r>
          </w:p>
        </w:tc>
        <w:tc>
          <w:tcPr>
            <w:tcW w:type="pct" w:w="52%"/>
            <w:vAlign w:val="center"/>
          </w:tcPr>
          <w:p>
            <w:r>
              <w:rPr>
                <w:b w:val="false"/>
                <w:bCs w:val="false"/>
                <w:sz w:val="20"/>
                <w:szCs w:val="20"/>
              </w:rPr>
              <w:t xml:space="preserve">5 curated views + elt_pipeline.py, run for real: 5/5 jobs succeeded, 265,583 rows written into BigQuery.</w:t>
            </w:r>
          </w:p>
        </w:tc>
      </w:tr>
      <w:tr>
        <w:tc>
          <w:tcPr>
            <w:tcW w:type="pct" w:w="32%"/>
            <w:vAlign w:val="center"/>
          </w:tcPr>
          <w:p>
            <w:r>
              <w:rPr>
                <w:b w:val="false"/>
                <w:bCs w:val="false"/>
                <w:sz w:val="20"/>
                <w:szCs w:val="20"/>
              </w:rPr>
              <w:t xml:space="preserve">Dashboards covering all 4 scenarios</w:t>
            </w:r>
          </w:p>
        </w:tc>
        <w:tc>
          <w:tcPr>
            <w:tcW w:type="pct" w:w="16%"/>
            <w:vAlign w:val="center"/>
          </w:tcPr>
          <w:p>
            <w:r>
              <w:rPr>
                <w:b w:val="false"/>
                <w:bCs w:val="false"/>
                <w:sz w:val="20"/>
                <w:szCs w:val="20"/>
              </w:rPr>
              <w:t xml:space="preserve">Complete</w:t>
            </w:r>
          </w:p>
        </w:tc>
        <w:tc>
          <w:tcPr>
            <w:tcW w:type="pct" w:w="52%"/>
            <w:vAlign w:val="center"/>
          </w:tcPr>
          <w:p>
            <w:r>
              <w:rPr>
                <w:b w:val="false"/>
                <w:bCs w:val="false"/>
                <w:sz w:val="20"/>
                <w:szCs w:val="20"/>
              </w:rPr>
              <w:t xml:space="preserve">Built and live in Looker Studio, connected directly to the BigQuery dataset.</w:t>
            </w:r>
          </w:p>
        </w:tc>
      </w:tr>
      <w:tr>
        <w:tc>
          <w:tcPr>
            <w:tcW w:type="pct" w:w="32%"/>
            <w:vAlign w:val="center"/>
          </w:tcPr>
          <w:p>
            <w:r>
              <w:rPr>
                <w:b w:val="false"/>
                <w:bCs w:val="false"/>
                <w:sz w:val="20"/>
                <w:szCs w:val="20"/>
              </w:rPr>
              <w:t xml:space="preserve">ERD, data dictionary, normalisation justification</w:t>
            </w:r>
          </w:p>
        </w:tc>
        <w:tc>
          <w:tcPr>
            <w:tcW w:type="pct" w:w="16%"/>
            <w:vAlign w:val="center"/>
          </w:tcPr>
          <w:p>
            <w:r>
              <w:rPr>
                <w:b w:val="false"/>
                <w:bCs w:val="false"/>
                <w:sz w:val="20"/>
                <w:szCs w:val="20"/>
              </w:rPr>
              <w:t xml:space="preserve">Complete</w:t>
            </w:r>
          </w:p>
        </w:tc>
        <w:tc>
          <w:tcPr>
            <w:tcW w:type="pct" w:w="52%"/>
            <w:vAlign w:val="center"/>
          </w:tcPr>
          <w:p>
            <w:r>
              <w:rPr>
                <w:b w:val="false"/>
                <w:bCs w:val="false"/>
                <w:sz w:val="20"/>
                <w:szCs w:val="20"/>
              </w:rPr>
              <w:t xml:space="preserve">Reverse-engineered ERD generated from the live schema; data dictionary in Section 6; normalisation reasoning in Section 7.</w:t>
            </w:r>
          </w:p>
        </w:tc>
      </w:tr>
      <w:tr>
        <w:tc>
          <w:tcPr>
            <w:tcW w:type="pct" w:w="32%"/>
            <w:vAlign w:val="center"/>
          </w:tcPr>
          <w:p>
            <w:r>
              <w:rPr>
                <w:b w:val="false"/>
                <w:bCs w:val="false"/>
                <w:sz w:val="20"/>
                <w:szCs w:val="20"/>
              </w:rPr>
              <w:t xml:space="preserve">Query performance review</w:t>
            </w:r>
          </w:p>
        </w:tc>
        <w:tc>
          <w:tcPr>
            <w:tcW w:type="pct" w:w="16%"/>
            <w:vAlign w:val="center"/>
          </w:tcPr>
          <w:p>
            <w:r>
              <w:rPr>
                <w:b w:val="false"/>
                <w:bCs w:val="false"/>
                <w:sz w:val="20"/>
                <w:szCs w:val="20"/>
              </w:rPr>
              <w:t xml:space="preserve">Complete</w:t>
            </w:r>
          </w:p>
        </w:tc>
        <w:tc>
          <w:tcPr>
            <w:tcW w:type="pct" w:w="52%"/>
            <w:vAlign w:val="center"/>
          </w:tcPr>
          <w:p>
            <w:r>
              <w:rPr>
                <w:b w:val="false"/>
                <w:bCs w:val="false"/>
                <w:sz w:val="20"/>
                <w:szCs w:val="20"/>
              </w:rPr>
              <w:t xml:space="preserve">Section 9 — real EXPLAIN ANALYZE findings against the live dataset.</w:t>
            </w:r>
          </w:p>
        </w:tc>
      </w:tr>
      <w:tr>
        <w:tc>
          <w:tcPr>
            <w:tcW w:type="pct" w:w="32%"/>
            <w:vAlign w:val="center"/>
          </w:tcPr>
          <w:p>
            <w:r>
              <w:rPr>
                <w:b w:val="false"/>
                <w:bCs w:val="false"/>
                <w:sz w:val="20"/>
                <w:szCs w:val="20"/>
              </w:rPr>
              <w:t xml:space="preserve">Complete project report</w:t>
            </w:r>
          </w:p>
        </w:tc>
        <w:tc>
          <w:tcPr>
            <w:tcW w:type="pct" w:w="16%"/>
            <w:vAlign w:val="center"/>
          </w:tcPr>
          <w:p>
            <w:r>
              <w:rPr>
                <w:b w:val="false"/>
                <w:bCs w:val="false"/>
                <w:sz w:val="20"/>
                <w:szCs w:val="20"/>
              </w:rPr>
              <w:t xml:space="preserve">This document</w:t>
            </w:r>
          </w:p>
        </w:tc>
        <w:tc>
          <w:tcPr>
            <w:tcW w:type="pct" w:w="52%"/>
            <w:vAlign w:val="center"/>
          </w:tcPr>
          <w:p>
            <w:r>
              <w:rPr>
                <w:b w:val="false"/>
                <w:bCs w:val="false"/>
                <w:sz w:val="20"/>
                <w:szCs w:val="20"/>
              </w:rPr>
              <w:t xml:space="preserve">—</w:t>
            </w:r>
          </w:p>
        </w:tc>
      </w:tr>
    </w:tbl>
    <w:p>
      <w:pPr>
        <w:pStyle w:val="Heading1"/>
        <w:spacing w:after="180" w:before="360"/>
      </w:pPr>
      <w:r>
        <w:t xml:space="preserve">4. Architecture Overview</w:t>
      </w:r>
    </w:p>
    <w:p>
      <w:pPr>
        <w:pStyle w:val="Heading2"/>
        <w:spacing w:after="140" w:before="260"/>
      </w:pPr>
      <w:r>
        <w:t xml:space="preserve">4.1 Core Hub and Divisional Modules</w:t>
      </w:r>
    </w:p>
    <w:p>
      <w:pPr>
        <w:spacing w:after="160"/>
      </w:pPr>
      <w:r>
        <w:t xml:space="preserve">A Core Services Hub of six entities sits at the centre of the schema. Each of the five divisional modules connects back to the Hub through foreign keys rather than maintaining a duplicated, divergent copy of a shared concept — the direct structural response to why the 2019 and 2022 attempts failed.</w:t>
      </w:r>
    </w:p>
    <w:p>
      <w:pPr>
        <w:pStyle w:val="Heading2"/>
        <w:spacing w:after="140" w:before="260"/>
      </w:pPr>
      <w:r>
        <w:t xml:space="preserve">4.2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2C2C2A" w:val="clear"/>
            <w:vAlign w:val="center"/>
          </w:tcPr>
          <w:p>
            <w:r>
              <w:rPr>
                <w:b/>
                <w:bCs/>
                <w:color w:val="FFFFFF"/>
                <w:sz w:val="20"/>
                <w:szCs w:val="20"/>
              </w:rPr>
              <w:t xml:space="preserve">Layer</w:t>
            </w:r>
          </w:p>
        </w:tc>
        <w:tc>
          <w:tcPr>
            <w:tcW w:type="pct" w:w="30%"/>
            <w:shd w:fill="2C2C2A" w:val="clear"/>
            <w:vAlign w:val="center"/>
          </w:tcPr>
          <w:p>
            <w:r>
              <w:rPr>
                <w:b/>
                <w:bCs/>
                <w:color w:val="FFFFFF"/>
                <w:sz w:val="20"/>
                <w:szCs w:val="20"/>
              </w:rPr>
              <w:t xml:space="preserve">Technology</w:t>
            </w:r>
          </w:p>
        </w:tc>
        <w:tc>
          <w:tcPr>
            <w:tcW w:type="pct" w:w="48%"/>
            <w:shd w:fill="2C2C2A" w:val="clear"/>
            <w:vAlign w:val="center"/>
          </w:tcPr>
          <w:p>
            <w:r>
              <w:rPr>
                <w:b/>
                <w:bCs/>
                <w:color w:val="FFFFFF"/>
                <w:sz w:val="20"/>
                <w:szCs w:val="20"/>
              </w:rPr>
              <w:t xml:space="preserve">Status</w:t>
            </w:r>
          </w:p>
        </w:tc>
      </w:tr>
      <w:tr>
        <w:tc>
          <w:tcPr>
            <w:tcW w:type="pct" w:w="22%"/>
            <w:vAlign w:val="center"/>
          </w:tcPr>
          <w:p>
            <w:r>
              <w:rPr>
                <w:b w:val="false"/>
                <w:bCs w:val="false"/>
                <w:sz w:val="20"/>
                <w:szCs w:val="20"/>
              </w:rPr>
              <w:t xml:space="preserve">Operational (OLTP)</w:t>
            </w:r>
          </w:p>
        </w:tc>
        <w:tc>
          <w:tcPr>
            <w:tcW w:type="pct" w:w="30%"/>
            <w:vAlign w:val="center"/>
          </w:tcPr>
          <w:p>
            <w:r>
              <w:rPr>
                <w:b w:val="false"/>
                <w:bCs w:val="false"/>
                <w:sz w:val="20"/>
                <w:szCs w:val="20"/>
              </w:rPr>
              <w:t xml:space="preserve">PostgreSQL on Supabase</w:t>
            </w:r>
          </w:p>
        </w:tc>
        <w:tc>
          <w:tcPr>
            <w:tcW w:type="pct" w:w="48%"/>
            <w:vAlign w:val="center"/>
          </w:tcPr>
          <w:p>
            <w:r>
              <w:rPr>
                <w:b w:val="false"/>
                <w:bCs w:val="false"/>
                <w:sz w:val="20"/>
                <w:szCs w:val="20"/>
              </w:rPr>
              <w:t xml:space="preserve">Live, populated, secured</w:t>
            </w:r>
          </w:p>
        </w:tc>
      </w:tr>
      <w:tr>
        <w:tc>
          <w:tcPr>
            <w:tcW w:type="pct" w:w="22%"/>
            <w:vAlign w:val="center"/>
          </w:tcPr>
          <w:p>
            <w:r>
              <w:rPr>
                <w:b w:val="false"/>
                <w:bCs w:val="false"/>
                <w:sz w:val="20"/>
                <w:szCs w:val="20"/>
              </w:rPr>
              <w:t xml:space="preserve">Schema administration</w:t>
            </w:r>
          </w:p>
        </w:tc>
        <w:tc>
          <w:tcPr>
            <w:tcW w:type="pct" w:w="30%"/>
            <w:vAlign w:val="center"/>
          </w:tcPr>
          <w:p>
            <w:r>
              <w:rPr>
                <w:b w:val="false"/>
                <w:bCs w:val="false"/>
                <w:sz w:val="20"/>
                <w:szCs w:val="20"/>
              </w:rPr>
              <w:t xml:space="preserve">pgAdmin</w:t>
            </w:r>
          </w:p>
        </w:tc>
        <w:tc>
          <w:tcPr>
            <w:tcW w:type="pct" w:w="48%"/>
            <w:vAlign w:val="center"/>
          </w:tcPr>
          <w:p>
            <w:r>
              <w:rPr>
                <w:b w:val="false"/>
                <w:bCs w:val="false"/>
                <w:sz w:val="20"/>
                <w:szCs w:val="20"/>
              </w:rPr>
              <w:t xml:space="preserve">In active use throughout the build</w:t>
            </w:r>
          </w:p>
        </w:tc>
      </w:tr>
      <w:tr>
        <w:tc>
          <w:tcPr>
            <w:tcW w:type="pct" w:w="22%"/>
            <w:vAlign w:val="center"/>
          </w:tcPr>
          <w:p>
            <w:r>
              <w:rPr>
                <w:b w:val="false"/>
                <w:bCs w:val="false"/>
                <w:sz w:val="20"/>
                <w:szCs w:val="20"/>
              </w:rPr>
              <w:t xml:space="preserve">Analytical (OLAP)</w:t>
            </w:r>
          </w:p>
        </w:tc>
        <w:tc>
          <w:tcPr>
            <w:tcW w:type="pct" w:w="30%"/>
            <w:vAlign w:val="center"/>
          </w:tcPr>
          <w:p>
            <w:r>
              <w:rPr>
                <w:b w:val="false"/>
                <w:bCs w:val="false"/>
                <w:sz w:val="20"/>
                <w:szCs w:val="20"/>
              </w:rPr>
              <w:t xml:space="preserve">Google BigQuery</w:t>
            </w:r>
          </w:p>
        </w:tc>
        <w:tc>
          <w:tcPr>
            <w:tcW w:type="pct" w:w="48%"/>
            <w:vAlign w:val="center"/>
          </w:tcPr>
          <w:p>
            <w:r>
              <w:rPr>
                <w:b w:val="false"/>
                <w:bCs w:val="false"/>
                <w:sz w:val="20"/>
                <w:szCs w:val="20"/>
              </w:rPr>
              <w:t xml:space="preserve">Live dataset, 265,583 rows across 5 fact tables</w:t>
            </w:r>
          </w:p>
        </w:tc>
      </w:tr>
      <w:tr>
        <w:tc>
          <w:tcPr>
            <w:tcW w:type="pct" w:w="22%"/>
            <w:vAlign w:val="center"/>
          </w:tcPr>
          <w:p>
            <w:r>
              <w:rPr>
                <w:b w:val="false"/>
                <w:bCs w:val="false"/>
                <w:sz w:val="20"/>
                <w:szCs w:val="20"/>
              </w:rPr>
              <w:t xml:space="preserve">Dashboards</w:t>
            </w:r>
          </w:p>
        </w:tc>
        <w:tc>
          <w:tcPr>
            <w:tcW w:type="pct" w:w="30%"/>
            <w:vAlign w:val="center"/>
          </w:tcPr>
          <w:p>
            <w:r>
              <w:rPr>
                <w:b w:val="false"/>
                <w:bCs w:val="false"/>
                <w:sz w:val="20"/>
                <w:szCs w:val="20"/>
              </w:rPr>
              <w:t xml:space="preserve">Looker Studio</w:t>
            </w:r>
          </w:p>
        </w:tc>
        <w:tc>
          <w:tcPr>
            <w:tcW w:type="pct" w:w="48%"/>
            <w:vAlign w:val="center"/>
          </w:tcPr>
          <w:p>
            <w:r>
              <w:rPr>
                <w:b w:val="false"/>
                <w:bCs w:val="false"/>
                <w:sz w:val="20"/>
                <w:szCs w:val="20"/>
              </w:rPr>
              <w:t xml:space="preserve">Live, all 4 scenarios plus a bonus divisional view</w:t>
            </w:r>
          </w:p>
        </w:tc>
      </w:tr>
    </w:tbl>
    <w:p>
      <w:pPr>
        <w:pStyle w:val="Heading2"/>
        <w:spacing w:after="140" w:before="260"/>
      </w:pPr>
      <w:r>
        <w:t xml:space="preserve">4.3 OLTP/OLAP Separation — Proven, Not Just Designed</w:t>
      </w:r>
    </w:p>
    <w:p>
      <w:pPr>
        <w:spacing w:after="160"/>
      </w:pPr>
      <w:r>
        <w:t xml:space="preserve">Section 9 of this report shows a full 262,165-row aggregate query took 582 ms against the operational database — tolerable occasionally, but exactly the workload class that would degrade real transactional performance under repeated or concurrent use, which is precisely what happened during Veridian's 2022 failed attempt. That same query now runs against fact_retail_sales in BigQuery instead, proving the architectural separation is not just theoretically correct but practically necessary.</w:t>
      </w:r>
    </w:p>
    <w:p>
      <w:pPr>
        <w:pStyle w:val="Heading1"/>
        <w:spacing w:after="180" w:before="360"/>
      </w:pPr>
      <w:r>
        <w:t xml:space="preserve">5. Deployed Data Volume</w:t>
      </w:r>
    </w:p>
    <w:p>
      <w:pPr>
        <w:spacing w:after="160"/>
      </w:pPr>
      <w:r>
        <w:t xml:space="preserve">The team's live Supabase project holds 506,775 rows across all 40 tables, generated by a documented, reproducible synthetic data script and verified directly via COUNT(*) queries against every table (not stale statistics-cache figures, which were found during the build to be unreliable immediately after a bulk load).</w:t>
      </w:r>
    </w:p>
    <w:p>
      <w:pPr>
        <w:spacing w:after="160"/>
      </w:pPr>
      <w:r>
        <w:rPr>
          <w:b/>
          <w:bCs/>
        </w:rPr>
        <w:t xml:space="preserve">A transparency note on scope: </w:t>
      </w:r>
      <w:r>
        <w:t xml:space="preserve">the original target volumes in Section 5.4 of the brief called for larger figures in places (for example, 500,000–1,000,000 POS transactions). During the physical load, the team encountered a genuine infrastructure constraint — Supabase's free-tier connection pooler times out on very large single bulk-load operations — and made a deliberate, documented decision to scale the dataset down by roughly a fifth across every table, preserving all relationships, overlaps, and referential integrity, rather than leave the platform partially or inconsistently loaded. Every relationship, constraint, and the four stakeholder scenarios remain fully and correctly demonstrable at this scale; the trade-off is candidly against the brief's specific volume figures, not against the platform's correctness.</w:t>
      </w:r>
    </w:p>
    <w:p>
      <w:pPr>
        <w:pStyle w:val="Heading1"/>
        <w:spacing w:after="180" w:before="360"/>
      </w:pPr>
      <w:r>
        <w:t xml:space="preserve">6. Data Dictionary</w:t>
      </w:r>
    </w:p>
    <w:p>
      <w:pPr>
        <w:spacing w:after="160"/>
      </w:pPr>
      <w:r>
        <w:t xml:space="preserve">Every table below was parsed directly from the live, executed schema file (project_concord_full_database.sql) — this data dictionary is generated from the actual database, not maintained as a separate document that could drift out of sync with it.</w:t>
      </w:r>
    </w:p>
    <w:p>
      <w:pPr>
        <w:pStyle w:val="Heading2"/>
        <w:spacing w:after="140" w:before="260"/>
      </w:pPr>
      <w:r>
        <w:t xml:space="preserve">6.1 Core Services Hub</w:t>
      </w:r>
    </w:p>
    <w:p>
      <w:pPr>
        <w:pStyle w:val="Heading3"/>
        <w:spacing w:after="100" w:before="200"/>
      </w:pPr>
      <w:r>
        <w:t xml:space="preserve">hub_customers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customer_id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full_name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date_of_birth</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primary_contact</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registered_country</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consent_retail_personalisation</w:t>
            </w:r>
          </w:p>
        </w:tc>
        <w:tc>
          <w:tcPr>
            <w:tcW w:type="pct" w:w="20%"/>
            <w:vAlign w:val="center"/>
          </w:tcPr>
          <w:p>
            <w:r>
              <w:rPr>
                <w:b w:val="false"/>
                <w:bCs w:val="false"/>
                <w:sz w:val="20"/>
                <w:szCs w:val="20"/>
              </w:rPr>
              <w:t xml:space="preserve">boolean</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consent_credit_assessment_share</w:t>
            </w:r>
          </w:p>
        </w:tc>
        <w:tc>
          <w:tcPr>
            <w:tcW w:type="pct" w:w="20%"/>
            <w:vAlign w:val="center"/>
          </w:tcPr>
          <w:p>
            <w:r>
              <w:rPr>
                <w:b w:val="false"/>
                <w:bCs w:val="false"/>
                <w:sz w:val="20"/>
                <w:szCs w:val="20"/>
              </w:rPr>
              <w:t xml:space="preserve">boolean</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consent_cross_div_marketing</w:t>
            </w:r>
          </w:p>
        </w:tc>
        <w:tc>
          <w:tcPr>
            <w:tcW w:type="pct" w:w="20%"/>
            <w:vAlign w:val="center"/>
          </w:tcPr>
          <w:p>
            <w:r>
              <w:rPr>
                <w:b w:val="false"/>
                <w:bCs w:val="false"/>
                <w:sz w:val="20"/>
                <w:szCs w:val="20"/>
              </w:rPr>
              <w:t xml:space="preserve">boolean</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created_date</w:t>
            </w:r>
          </w:p>
        </w:tc>
        <w:tc>
          <w:tcPr>
            <w:tcW w:type="pct" w:w="20%"/>
            <w:vAlign w:val="center"/>
          </w:tcPr>
          <w:p>
            <w:r>
              <w:rPr>
                <w:b w:val="false"/>
                <w:bCs w:val="false"/>
                <w:sz w:val="20"/>
                <w:szCs w:val="20"/>
              </w:rPr>
              <w:t xml:space="preserve">timestamptz</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bl>
    <w:p>
      <w:pPr>
        <w:pStyle w:val="Heading3"/>
        <w:spacing w:after="100" w:before="200"/>
      </w:pPr>
      <w:r>
        <w:t xml:space="preserve">hub_employees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employee_id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full_name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division_id</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role_title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employment_status</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hire_date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reports_to</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hub_employees</w:t>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hub_financial_account_refs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account_ref_id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customer_id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hub_customers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account_type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account_status</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opened_date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bl>
    <w:p>
      <w:pPr>
        <w:pStyle w:val="Heading3"/>
        <w:spacing w:after="100" w:before="200"/>
      </w:pPr>
      <w:r>
        <w:t xml:space="preserve">hub_locations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location_id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site_name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site_type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address</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city</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country_code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latitude</w:t>
            </w:r>
          </w:p>
        </w:tc>
        <w:tc>
          <w:tcPr>
            <w:tcW w:type="pct" w:w="20%"/>
            <w:vAlign w:val="center"/>
          </w:tcPr>
          <w:p>
            <w:r>
              <w:rPr>
                <w:b w:val="false"/>
                <w:bCs w:val="false"/>
                <w:sz w:val="20"/>
                <w:szCs w:val="20"/>
              </w:rPr>
              <w:t xml:space="preserve">numeric(9,6)</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longitude</w:t>
            </w:r>
          </w:p>
        </w:tc>
        <w:tc>
          <w:tcPr>
            <w:tcW w:type="pct" w:w="20%"/>
            <w:vAlign w:val="center"/>
          </w:tcPr>
          <w:p>
            <w:r>
              <w:rPr>
                <w:b w:val="false"/>
                <w:bCs w:val="false"/>
                <w:sz w:val="20"/>
                <w:szCs w:val="20"/>
              </w:rPr>
              <w:t xml:space="preserve">numeric(9,6)</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hub_products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product_id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product_name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category</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unit_of_measure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primary_division_id</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is_active</w:t>
            </w:r>
          </w:p>
        </w:tc>
        <w:tc>
          <w:tcPr>
            <w:tcW w:type="pct" w:w="20%"/>
            <w:vAlign w:val="center"/>
          </w:tcPr>
          <w:p>
            <w:r>
              <w:rPr>
                <w:b w:val="false"/>
                <w:bCs w:val="false"/>
                <w:sz w:val="20"/>
                <w:szCs w:val="20"/>
              </w:rPr>
              <w:t xml:space="preserve">boolean</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bl>
    <w:p>
      <w:pPr>
        <w:pStyle w:val="Heading3"/>
        <w:spacing w:after="100" w:before="200"/>
      </w:pPr>
      <w:r>
        <w:t xml:space="preserve">hub_suppliers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supplier_id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legal_name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supplier_type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primary_division_id</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onboarding_date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status</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bl>
    <w:p>
      <w:pPr>
        <w:pStyle w:val="Heading2"/>
        <w:spacing w:after="140" w:before="260"/>
      </w:pPr>
      <w:r>
        <w:t xml:space="preserve">6.2 Meridian Retail and Consumer Module</w:t>
      </w:r>
    </w:p>
    <w:p>
      <w:pPr>
        <w:pStyle w:val="Heading3"/>
        <w:spacing w:after="100" w:before="200"/>
      </w:pPr>
      <w:r>
        <w:t xml:space="preserve">ret_line_items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line_item_id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transaction_id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ret_pos_transactions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product_id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hub_products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quantity</w:t>
            </w:r>
          </w:p>
        </w:tc>
        <w:tc>
          <w:tcPr>
            <w:tcW w:type="pct" w:w="20%"/>
            <w:vAlign w:val="center"/>
          </w:tcPr>
          <w:p>
            <w:r>
              <w:rPr>
                <w:b w:val="false"/>
                <w:bCs w:val="false"/>
                <w:sz w:val="20"/>
                <w:szCs w:val="20"/>
              </w:rPr>
              <w:t xml:space="preserve">integer</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unit_price</w:t>
            </w:r>
          </w:p>
        </w:tc>
        <w:tc>
          <w:tcPr>
            <w:tcW w:type="pct" w:w="20%"/>
            <w:vAlign w:val="center"/>
          </w:tcPr>
          <w:p>
            <w:r>
              <w:rPr>
                <w:b w:val="false"/>
                <w:bCs w:val="false"/>
                <w:sz w:val="20"/>
                <w:szCs w:val="20"/>
              </w:rPr>
              <w:t xml:space="preserve">numeric(10,2)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bl>
    <w:p>
      <w:pPr>
        <w:pStyle w:val="Heading3"/>
        <w:spacing w:after="100" w:before="200"/>
      </w:pPr>
      <w:r>
        <w:t xml:space="preserve">ret_loyalty_accounts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loyalty_id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customer_id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hub_customers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store_format</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tier</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points_balance</w:t>
            </w:r>
          </w:p>
        </w:tc>
        <w:tc>
          <w:tcPr>
            <w:tcW w:type="pct" w:w="20%"/>
            <w:vAlign w:val="center"/>
          </w:tcPr>
          <w:p>
            <w:r>
              <w:rPr>
                <w:b w:val="false"/>
                <w:bCs w:val="false"/>
                <w:sz w:val="20"/>
                <w:szCs w:val="20"/>
              </w:rPr>
              <w:t xml:space="preserve">integer</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enrolment_date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bl>
    <w:p>
      <w:pPr>
        <w:pStyle w:val="Heading3"/>
        <w:spacing w:after="100" w:before="200"/>
      </w:pPr>
      <w:r>
        <w:t xml:space="preserve">ret_pos_transactions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transaction_id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store_id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ret_stores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customer_id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hub_customers</w:t>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transaction_date</w:t>
            </w:r>
          </w:p>
        </w:tc>
        <w:tc>
          <w:tcPr>
            <w:tcW w:type="pct" w:w="20%"/>
            <w:vAlign w:val="center"/>
          </w:tcPr>
          <w:p>
            <w:r>
              <w:rPr>
                <w:b w:val="false"/>
                <w:bCs w:val="false"/>
                <w:sz w:val="20"/>
                <w:szCs w:val="20"/>
              </w:rPr>
              <w:t xml:space="preserve">timestamptz</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total_amount</w:t>
            </w:r>
          </w:p>
        </w:tc>
        <w:tc>
          <w:tcPr>
            <w:tcW w:type="pct" w:w="20%"/>
            <w:vAlign w:val="center"/>
          </w:tcPr>
          <w:p>
            <w:r>
              <w:rPr>
                <w:b w:val="false"/>
                <w:bCs w:val="false"/>
                <w:sz w:val="20"/>
                <w:szCs w:val="20"/>
              </w:rPr>
              <w:t xml:space="preserve">numeric(12,2)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payment_method</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bl>
    <w:p>
      <w:pPr>
        <w:pStyle w:val="Heading3"/>
        <w:spacing w:after="100" w:before="200"/>
      </w:pPr>
      <w:r>
        <w:t xml:space="preserve">ret_promotions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promotion_id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product_id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hub_products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discount_type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start_date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end_date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bl>
    <w:p>
      <w:pPr>
        <w:pStyle w:val="Heading3"/>
        <w:spacing w:after="100" w:before="200"/>
      </w:pPr>
      <w:r>
        <w:t xml:space="preserve">ret_stock_levels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stock_id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store_id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ret_stores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product_id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hub_products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quantity_on_hand</w:t>
            </w:r>
          </w:p>
        </w:tc>
        <w:tc>
          <w:tcPr>
            <w:tcW w:type="pct" w:w="20%"/>
            <w:vAlign w:val="center"/>
          </w:tcPr>
          <w:p>
            <w:r>
              <w:rPr>
                <w:b w:val="false"/>
                <w:bCs w:val="false"/>
                <w:sz w:val="20"/>
                <w:szCs w:val="20"/>
              </w:rPr>
              <w:t xml:space="preserve">integer</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last_counted_date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ret_stores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store_id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location_id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hub_locations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store_format</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opening_date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manager_employee_id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hub_employees</w:t>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ret_supplier_deliveries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delivery_id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supplier_id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hub_suppliers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store_id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ret_stores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expected_date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received_date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status</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bl>
    <w:p>
      <w:pPr>
        <w:pStyle w:val="Heading2"/>
        <w:spacing w:after="140" w:before="260"/>
      </w:pPr>
      <w:r>
        <w:t xml:space="preserve">6.3 Concord Logistics Module</w:t>
      </w:r>
    </w:p>
    <w:p>
      <w:pPr>
        <w:pStyle w:val="Heading3"/>
        <w:spacing w:after="100" w:before="200"/>
      </w:pPr>
      <w:r>
        <w:t xml:space="preserve">log_drivers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driver_id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employee_id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hub_employees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licence_number</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licence_expiry</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bl>
    <w:p>
      <w:pPr>
        <w:pStyle w:val="Heading3"/>
        <w:spacing w:after="100" w:before="200"/>
      </w:pPr>
      <w:r>
        <w:t xml:space="preserve">log_maintenance_logs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maintenance_id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vehicle_id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log_vehicles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service_date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cost</w:t>
            </w:r>
          </w:p>
        </w:tc>
        <w:tc>
          <w:tcPr>
            <w:tcW w:type="pct" w:w="20%"/>
            <w:vAlign w:val="center"/>
          </w:tcPr>
          <w:p>
            <w:r>
              <w:rPr>
                <w:b w:val="false"/>
                <w:bCs w:val="false"/>
                <w:sz w:val="20"/>
                <w:szCs w:val="20"/>
              </w:rPr>
              <w:t xml:space="preserve">numeric(10,2)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description</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log_routes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route_id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route_name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origin_location_id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hub_locations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destination_location_id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hub_locations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distance_km</w:t>
            </w:r>
          </w:p>
        </w:tc>
        <w:tc>
          <w:tcPr>
            <w:tcW w:type="pct" w:w="20%"/>
            <w:vAlign w:val="center"/>
          </w:tcPr>
          <w:p>
            <w:r>
              <w:rPr>
                <w:b w:val="false"/>
                <w:bCs w:val="false"/>
                <w:sz w:val="20"/>
                <w:szCs w:val="20"/>
              </w:rPr>
              <w:t xml:space="preserve">numeric(8,2)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bl>
    <w:p>
      <w:pPr>
        <w:pStyle w:val="Heading3"/>
        <w:spacing w:after="100" w:before="200"/>
      </w:pPr>
      <w:r>
        <w:t xml:space="preserve">log_shipment_legs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leg_id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shipment_id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log_shipments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vehicle_id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log_vehicles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driver_id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log_drivers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departure_time</w:t>
            </w:r>
          </w:p>
        </w:tc>
        <w:tc>
          <w:tcPr>
            <w:tcW w:type="pct" w:w="20%"/>
            <w:vAlign w:val="center"/>
          </w:tcPr>
          <w:p>
            <w:r>
              <w:rPr>
                <w:b w:val="false"/>
                <w:bCs w:val="false"/>
                <w:sz w:val="20"/>
                <w:szCs w:val="20"/>
              </w:rPr>
              <w:t xml:space="preserve">timestamptz</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arrival_time</w:t>
            </w:r>
          </w:p>
        </w:tc>
        <w:tc>
          <w:tcPr>
            <w:tcW w:type="pct" w:w="20%"/>
            <w:vAlign w:val="center"/>
          </w:tcPr>
          <w:p>
            <w:r>
              <w:rPr>
                <w:b w:val="false"/>
                <w:bCs w:val="false"/>
                <w:sz w:val="20"/>
                <w:szCs w:val="20"/>
              </w:rPr>
              <w:t xml:space="preserve">timestamptz</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log_shipments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shipment_id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origin_location_id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hub_locations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destination_location_id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hub_locations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client_type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status</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bl>
    <w:p>
      <w:pPr>
        <w:pStyle w:val="Heading3"/>
        <w:spacing w:after="100" w:before="200"/>
      </w:pPr>
      <w:r>
        <w:t xml:space="preserve">log_vehicles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vehicle_id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registration_number</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vehicle_type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capacity_kg</w:t>
            </w:r>
          </w:p>
        </w:tc>
        <w:tc>
          <w:tcPr>
            <w:tcW w:type="pct" w:w="20%"/>
            <w:vAlign w:val="center"/>
          </w:tcPr>
          <w:p>
            <w:r>
              <w:rPr>
                <w:b w:val="false"/>
                <w:bCs w:val="false"/>
                <w:sz w:val="20"/>
                <w:szCs w:val="20"/>
              </w:rPr>
              <w:t xml:space="preserve">numeric(10,2)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status</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bl>
    <w:p>
      <w:pPr>
        <w:pStyle w:val="Heading3"/>
        <w:spacing w:after="100" w:before="200"/>
      </w:pPr>
      <w:r>
        <w:t xml:space="preserve">log_warehouses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warehouse_id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location_id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hub_locations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capacity_units</w:t>
            </w:r>
          </w:p>
        </w:tc>
        <w:tc>
          <w:tcPr>
            <w:tcW w:type="pct" w:w="20%"/>
            <w:vAlign w:val="center"/>
          </w:tcPr>
          <w:p>
            <w:r>
              <w:rPr>
                <w:b w:val="false"/>
                <w:bCs w:val="false"/>
                <w:sz w:val="20"/>
                <w:szCs w:val="20"/>
              </w:rPr>
              <w:t xml:space="preserve">integer</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leased_from_property_id</w:t>
            </w:r>
          </w:p>
        </w:tc>
        <w:tc>
          <w:tcPr>
            <w:tcW w:type="pct" w:w="20%"/>
            <w:vAlign w:val="center"/>
          </w:tcPr>
          <w:p>
            <w:r>
              <w:rPr>
                <w:b w:val="false"/>
                <w:bCs w:val="false"/>
                <w:sz w:val="20"/>
                <w:szCs w:val="20"/>
              </w:rPr>
              <w:t xml:space="preserve">?</w:t>
            </w:r>
          </w:p>
        </w:tc>
        <w:tc>
          <w:tcPr>
            <w:tcW w:type="pct" w:w="22%"/>
            <w:vAlign w:val="center"/>
          </w:tcPr>
          <w:p>
            <w:r>
              <w:rPr>
                <w:b w:val="false"/>
                <w:bCs w:val="false"/>
                <w:sz w:val="20"/>
                <w:szCs w:val="20"/>
              </w:rPr>
              <w:t xml:space="preserve">FK -&gt; prop_properties</w:t>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2"/>
        <w:spacing w:after="140" w:before="260"/>
      </w:pPr>
      <w:r>
        <w:t xml:space="preserve">6.4 Veridian Financial Services Module</w:t>
      </w:r>
    </w:p>
    <w:p>
      <w:pPr>
        <w:pStyle w:val="Heading3"/>
        <w:spacing w:after="100" w:before="200"/>
      </w:pPr>
      <w:r>
        <w:t xml:space="preserve">vfs_kyc_records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kyc_id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customer_id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hub_customers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verification_level</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verified_date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vfs_loan_repayments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repayment_id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loan_id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vfs_loans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due_date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amount_due</w:t>
            </w:r>
          </w:p>
        </w:tc>
        <w:tc>
          <w:tcPr>
            <w:tcW w:type="pct" w:w="20%"/>
            <w:vAlign w:val="center"/>
          </w:tcPr>
          <w:p>
            <w:r>
              <w:rPr>
                <w:b w:val="false"/>
                <w:bCs w:val="false"/>
                <w:sz w:val="20"/>
                <w:szCs w:val="20"/>
              </w:rPr>
              <w:t xml:space="preserve">numeric(12,2)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amount_paid</w:t>
            </w:r>
          </w:p>
        </w:tc>
        <w:tc>
          <w:tcPr>
            <w:tcW w:type="pct" w:w="20%"/>
            <w:vAlign w:val="center"/>
          </w:tcPr>
          <w:p>
            <w:r>
              <w:rPr>
                <w:b w:val="false"/>
                <w:bCs w:val="false"/>
                <w:sz w:val="20"/>
                <w:szCs w:val="20"/>
              </w:rPr>
              <w:t xml:space="preserve">numeric(12,2)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paid_date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vfs_loans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loan_id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borrower_customer_id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hub_customers</w:t>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borrower_supplier_id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hub_suppliers</w:t>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principal_amount</w:t>
            </w:r>
          </w:p>
        </w:tc>
        <w:tc>
          <w:tcPr>
            <w:tcW w:type="pct" w:w="20%"/>
            <w:vAlign w:val="center"/>
          </w:tcPr>
          <w:p>
            <w:r>
              <w:rPr>
                <w:b w:val="false"/>
                <w:bCs w:val="false"/>
                <w:sz w:val="20"/>
                <w:szCs w:val="20"/>
              </w:rPr>
              <w:t xml:space="preserve">numeric(14,2)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status</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bl>
    <w:p>
      <w:pPr>
        <w:pStyle w:val="Heading3"/>
        <w:spacing w:after="100" w:before="200"/>
      </w:pPr>
      <w:r>
        <w:t xml:space="preserve">vfs_merchant_settlements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settlement_id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division_id</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settlement_date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total_amount</w:t>
            </w:r>
          </w:p>
        </w:tc>
        <w:tc>
          <w:tcPr>
            <w:tcW w:type="pct" w:w="20%"/>
            <w:vAlign w:val="center"/>
          </w:tcPr>
          <w:p>
            <w:r>
              <w:rPr>
                <w:b w:val="false"/>
                <w:bCs w:val="false"/>
                <w:sz w:val="20"/>
                <w:szCs w:val="20"/>
              </w:rPr>
              <w:t xml:space="preserve">numeric(14,2)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bl>
    <w:p>
      <w:pPr>
        <w:pStyle w:val="Heading3"/>
        <w:spacing w:after="100" w:before="200"/>
      </w:pPr>
      <w:r>
        <w:t xml:space="preserve">vfs_wallet_accounts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wallet_id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customer_id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hub_customers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account_ref_id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hub_financial_account_refs</w:t>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balance</w:t>
            </w:r>
          </w:p>
        </w:tc>
        <w:tc>
          <w:tcPr>
            <w:tcW w:type="pct" w:w="20%"/>
            <w:vAlign w:val="center"/>
          </w:tcPr>
          <w:p>
            <w:r>
              <w:rPr>
                <w:b w:val="false"/>
                <w:bCs w:val="false"/>
                <w:sz w:val="20"/>
                <w:szCs w:val="20"/>
              </w:rPr>
              <w:t xml:space="preserve">numeric(14,2)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status</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bl>
    <w:p>
      <w:pPr>
        <w:pStyle w:val="Heading3"/>
        <w:spacing w:after="100" w:before="200"/>
      </w:pPr>
      <w:r>
        <w:t xml:space="preserve">vfs_wallet_transactions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wallet_txn_id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wallet_id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vfs_wallet_accounts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counterparty_type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amount</w:t>
            </w:r>
          </w:p>
        </w:tc>
        <w:tc>
          <w:tcPr>
            <w:tcW w:type="pct" w:w="20%"/>
            <w:vAlign w:val="center"/>
          </w:tcPr>
          <w:p>
            <w:r>
              <w:rPr>
                <w:b w:val="false"/>
                <w:bCs w:val="false"/>
                <w:sz w:val="20"/>
                <w:szCs w:val="20"/>
              </w:rPr>
              <w:t xml:space="preserve">numeric(12,2)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transaction_date</w:t>
            </w:r>
          </w:p>
        </w:tc>
        <w:tc>
          <w:tcPr>
            <w:tcW w:type="pct" w:w="20%"/>
            <w:vAlign w:val="center"/>
          </w:tcPr>
          <w:p>
            <w:r>
              <w:rPr>
                <w:b w:val="false"/>
                <w:bCs w:val="false"/>
                <w:sz w:val="20"/>
                <w:szCs w:val="20"/>
              </w:rPr>
              <w:t xml:space="preserve">timestamptz</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bl>
    <w:p>
      <w:pPr>
        <w:pStyle w:val="Heading2"/>
        <w:spacing w:after="140" w:before="260"/>
      </w:pPr>
      <w:r>
        <w:t xml:space="preserve">6.5 AgriCore Module</w:t>
      </w:r>
    </w:p>
    <w:p>
      <w:pPr>
        <w:pStyle w:val="Heading3"/>
        <w:spacing w:after="100" w:before="200"/>
      </w:pPr>
      <w:r>
        <w:t xml:space="preserve">agr_farmer_loans_reference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reference_id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farmer_id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agr_farmers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loan_id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vfs_loans</w:t>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visible_summary_status</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agr_farmers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farmer_id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supplier_id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hub_suppliers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registration_date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cooperative_name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agr_farms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farm_id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supplier_id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hub_suppliers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location_id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hub_locations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size_hectares</w:t>
            </w:r>
          </w:p>
        </w:tc>
        <w:tc>
          <w:tcPr>
            <w:tcW w:type="pct" w:w="20%"/>
            <w:vAlign w:val="center"/>
          </w:tcPr>
          <w:p>
            <w:r>
              <w:rPr>
                <w:b w:val="false"/>
                <w:bCs w:val="false"/>
                <w:sz w:val="20"/>
                <w:szCs w:val="20"/>
              </w:rPr>
              <w:t xml:space="preserve">numeric(8,2)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primary_crop</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agr_harvest_batches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harvest_id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farm_id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agr_farms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product_id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hub_products</w:t>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harvest_date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volume_kg</w:t>
            </w:r>
          </w:p>
        </w:tc>
        <w:tc>
          <w:tcPr>
            <w:tcW w:type="pct" w:w="20%"/>
            <w:vAlign w:val="center"/>
          </w:tcPr>
          <w:p>
            <w:r>
              <w:rPr>
                <w:b w:val="false"/>
                <w:bCs w:val="false"/>
                <w:sz w:val="20"/>
                <w:szCs w:val="20"/>
              </w:rPr>
              <w:t xml:space="preserve">numeric(10,2)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field_agent_employee_id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hub_employees</w:t>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agr_processing_runs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run_id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harvest_id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agr_harvest_batches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facility_location_id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hub_locations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run_date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output_volume_kg</w:t>
            </w:r>
          </w:p>
        </w:tc>
        <w:tc>
          <w:tcPr>
            <w:tcW w:type="pct" w:w="20%"/>
            <w:vAlign w:val="center"/>
          </w:tcPr>
          <w:p>
            <w:r>
              <w:rPr>
                <w:b w:val="false"/>
                <w:bCs w:val="false"/>
                <w:sz w:val="20"/>
                <w:szCs w:val="20"/>
              </w:rPr>
              <w:t xml:space="preserve">numeric(10,2)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bl>
    <w:p>
      <w:pPr>
        <w:pStyle w:val="Heading3"/>
        <w:spacing w:after="100" w:before="200"/>
      </w:pPr>
      <w:r>
        <w:t xml:space="preserve">agr_quality_grades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grade_id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run_id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agr_processing_runs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grade_level</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moisture_content</w:t>
            </w:r>
          </w:p>
        </w:tc>
        <w:tc>
          <w:tcPr>
            <w:tcW w:type="pct" w:w="20%"/>
            <w:vAlign w:val="center"/>
          </w:tcPr>
          <w:p>
            <w:r>
              <w:rPr>
                <w:b w:val="false"/>
                <w:bCs w:val="false"/>
                <w:sz w:val="20"/>
                <w:szCs w:val="20"/>
              </w:rPr>
              <w:t xml:space="preserve">numeric(5,2)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inspector_employee_id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hub_employees</w:t>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agr_wholesale_shipments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wholesale_id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run_id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agr_processing_runs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destination_type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destination_id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shipment_id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log_shipments</w:t>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2"/>
        <w:spacing w:after="140" w:before="260"/>
      </w:pPr>
      <w:r>
        <w:t xml:space="preserve">6.6 Veridian Properties Module</w:t>
      </w:r>
    </w:p>
    <w:p>
      <w:pPr>
        <w:pStyle w:val="Heading3"/>
        <w:spacing w:after="100" w:before="200"/>
      </w:pPr>
      <w:r>
        <w:t xml:space="preserve">prop_facility_assets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asset_id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property_id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prop_properties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asset_type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installed_date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condition_rating</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CHECK</w:t>
            </w:r>
          </w:p>
        </w:tc>
      </w:tr>
    </w:tbl>
    <w:p>
      <w:pPr>
        <w:pStyle w:val="Heading3"/>
        <w:spacing w:after="100" w:before="200"/>
      </w:pPr>
      <w:r>
        <w:t xml:space="preserve">prop_leases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lease_id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property_id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prop_properties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tenant_id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prop_tenants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start_date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end_date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monthly_rent</w:t>
            </w:r>
          </w:p>
        </w:tc>
        <w:tc>
          <w:tcPr>
            <w:tcW w:type="pct" w:w="20%"/>
            <w:vAlign w:val="center"/>
          </w:tcPr>
          <w:p>
            <w:r>
              <w:rPr>
                <w:b w:val="false"/>
                <w:bCs w:val="false"/>
                <w:sz w:val="20"/>
                <w:szCs w:val="20"/>
              </w:rPr>
              <w:t xml:space="preserve">numeric(12,2)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is_current</w:t>
            </w:r>
          </w:p>
        </w:tc>
        <w:tc>
          <w:tcPr>
            <w:tcW w:type="pct" w:w="20%"/>
            <w:vAlign w:val="center"/>
          </w:tcPr>
          <w:p>
            <w:r>
              <w:rPr>
                <w:b w:val="false"/>
                <w:bCs w:val="false"/>
                <w:sz w:val="20"/>
                <w:szCs w:val="20"/>
              </w:rPr>
              <w:t xml:space="preserve">boolean</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bl>
    <w:p>
      <w:pPr>
        <w:pStyle w:val="Heading3"/>
        <w:spacing w:after="100" w:before="200"/>
      </w:pPr>
      <w:r>
        <w:t xml:space="preserve">prop_maintenance_requests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request_id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property_id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prop_properties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requested_date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category</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status</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resolved_date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prop_properties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property_id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location_id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hub_locations</w:t>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property_type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size_sqm</w:t>
            </w:r>
          </w:p>
        </w:tc>
        <w:tc>
          <w:tcPr>
            <w:tcW w:type="pct" w:w="20%"/>
            <w:vAlign w:val="center"/>
          </w:tcPr>
          <w:p>
            <w:r>
              <w:rPr>
                <w:b w:val="false"/>
                <w:bCs w:val="false"/>
                <w:sz w:val="20"/>
                <w:szCs w:val="20"/>
              </w:rPr>
              <w:t xml:space="preserve">numeric(10,2)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ownership_status</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bl>
    <w:p>
      <w:pPr>
        <w:pStyle w:val="Heading3"/>
        <w:spacing w:after="100" w:before="200"/>
      </w:pPr>
      <w:r>
        <w:t xml:space="preserve">prop_tenants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tenant_id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tenant_type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division_id</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external_tenant_name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nullable</w:t>
            </w:r>
          </w:p>
        </w:tc>
        <w:tc>
          <w:tcPr>
            <w:tcW w:type="pct" w:w="20%"/>
            <w:vAlign w:val="center"/>
          </w:tcPr>
          <w:p>
            <w:r>
              <w:rPr>
                <w:b w:val="false"/>
                <w:bCs w:val="false"/>
                <w:sz w:val="20"/>
                <w:szCs w:val="20"/>
              </w:rPr>
              <w:t xml:space="preserve"/>
            </w:r>
          </w:p>
        </w:tc>
      </w:tr>
    </w:tbl>
    <w:p>
      <w:pPr>
        <w:pStyle w:val="Heading3"/>
        <w:spacing w:after="100" w:before="200"/>
      </w:pPr>
      <w:r>
        <w:t xml:space="preserve">prop_utility_accounts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utility_id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property_id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prop_properties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utility_type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r>
        <w:tc>
          <w:tcPr>
            <w:tcW w:type="pct" w:w="22%"/>
            <w:vAlign w:val="center"/>
          </w:tcPr>
          <w:p>
            <w:r>
              <w:rPr>
                <w:b w:val="false"/>
                <w:bCs w:val="false"/>
                <w:sz w:val="20"/>
                <w:szCs w:val="20"/>
              </w:rPr>
              <w:t xml:space="preserve">provider_name</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account_number</w:t>
            </w:r>
          </w:p>
        </w:tc>
        <w:tc>
          <w:tcPr>
            <w:tcW w:type="pct" w:w="20%"/>
            <w:vAlign w:val="center"/>
          </w:tcPr>
          <w:p>
            <w:r>
              <w:rPr>
                <w:b w:val="false"/>
                <w:bCs w:val="false"/>
                <w:sz w:val="20"/>
                <w:szCs w:val="20"/>
              </w:rPr>
              <w:t xml:space="preserve">text</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bl>
    <w:p>
      <w:pPr>
        <w:pStyle w:val="Heading3"/>
        <w:spacing w:after="100" w:before="200"/>
      </w:pPr>
      <w:r>
        <w:t xml:space="preserve">prop_valuations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2C2C2A" w:val="clear"/>
            <w:vAlign w:val="center"/>
          </w:tcPr>
          <w:p>
            <w:r>
              <w:rPr>
                <w:b/>
                <w:bCs/>
                <w:color w:val="FFFFFF"/>
                <w:sz w:val="20"/>
                <w:szCs w:val="20"/>
              </w:rPr>
              <w:t xml:space="preserve">Column</w:t>
            </w:r>
          </w:p>
        </w:tc>
        <w:tc>
          <w:tcPr>
            <w:tcW w:type="pct" w:w="20%"/>
            <w:shd w:fill="2C2C2A" w:val="clear"/>
            <w:vAlign w:val="center"/>
          </w:tcPr>
          <w:p>
            <w:r>
              <w:rPr>
                <w:b/>
                <w:bCs/>
                <w:color w:val="FFFFFF"/>
                <w:sz w:val="20"/>
                <w:szCs w:val="20"/>
              </w:rPr>
              <w:t xml:space="preserve">Type</w:t>
            </w:r>
          </w:p>
        </w:tc>
        <w:tc>
          <w:tcPr>
            <w:tcW w:type="pct" w:w="22%"/>
            <w:shd w:fill="2C2C2A" w:val="clear"/>
            <w:vAlign w:val="center"/>
          </w:tcPr>
          <w:p>
            <w:r>
              <w:rPr>
                <w:b/>
                <w:bCs/>
                <w:color w:val="FFFFFF"/>
                <w:sz w:val="20"/>
                <w:szCs w:val="20"/>
              </w:rPr>
              <w:t xml:space="preserve">Key</w:t>
            </w:r>
          </w:p>
        </w:tc>
        <w:tc>
          <w:tcPr>
            <w:tcW w:type="pct" w:w="16%"/>
            <w:shd w:fill="2C2C2A" w:val="clear"/>
            <w:vAlign w:val="center"/>
          </w:tcPr>
          <w:p>
            <w:r>
              <w:rPr>
                <w:b/>
                <w:bCs/>
                <w:color w:val="FFFFFF"/>
                <w:sz w:val="20"/>
                <w:szCs w:val="20"/>
              </w:rPr>
              <w:t xml:space="preserve">Nullability</w:t>
            </w:r>
          </w:p>
        </w:tc>
        <w:tc>
          <w:tcPr>
            <w:tcW w:type="pct" w:w="20%"/>
            <w:shd w:fill="2C2C2A" w:val="clear"/>
            <w:vAlign w:val="center"/>
          </w:tcPr>
          <w:p>
            <w:r>
              <w:rPr>
                <w:b/>
                <w:bCs/>
                <w:color w:val="FFFFFF"/>
                <w:sz w:val="20"/>
                <w:szCs w:val="20"/>
              </w:rPr>
              <w:t xml:space="preserve">Notes</w:t>
            </w:r>
          </w:p>
        </w:tc>
      </w:tr>
      <w:tr>
        <w:tc>
          <w:tcPr>
            <w:tcW w:type="pct" w:w="22%"/>
            <w:vAlign w:val="center"/>
          </w:tcPr>
          <w:p>
            <w:r>
              <w:rPr>
                <w:b w:val="false"/>
                <w:bCs w:val="false"/>
                <w:sz w:val="20"/>
                <w:szCs w:val="20"/>
              </w:rPr>
              <w:t xml:space="preserve">valuation_id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PK</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property_id</w:t>
            </w:r>
          </w:p>
        </w:tc>
        <w:tc>
          <w:tcPr>
            <w:tcW w:type="pct" w:w="20%"/>
            <w:vAlign w:val="center"/>
          </w:tcPr>
          <w:p>
            <w:r>
              <w:rPr>
                <w:b w:val="false"/>
                <w:bCs w:val="false"/>
                <w:sz w:val="20"/>
                <w:szCs w:val="20"/>
              </w:rPr>
              <w:t xml:space="preserve">uuid</w:t>
            </w:r>
          </w:p>
        </w:tc>
        <w:tc>
          <w:tcPr>
            <w:tcW w:type="pct" w:w="22%"/>
            <w:vAlign w:val="center"/>
          </w:tcPr>
          <w:p>
            <w:r>
              <w:rPr>
                <w:b w:val="false"/>
                <w:bCs w:val="false"/>
                <w:sz w:val="20"/>
                <w:szCs w:val="20"/>
              </w:rPr>
              <w:t xml:space="preserve">FK -&gt; prop_properties</w:t>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valuation_date</w:t>
            </w:r>
          </w:p>
        </w:tc>
        <w:tc>
          <w:tcPr>
            <w:tcW w:type="pct" w:w="20%"/>
            <w:vAlign w:val="center"/>
          </w:tcPr>
          <w:p>
            <w:r>
              <w:rPr>
                <w:b w:val="false"/>
                <w:bCs w:val="false"/>
                <w:sz w:val="20"/>
                <w:szCs w:val="20"/>
              </w:rPr>
              <w:t xml:space="preserve">date</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
            </w:r>
          </w:p>
        </w:tc>
      </w:tr>
      <w:tr>
        <w:tc>
          <w:tcPr>
            <w:tcW w:type="pct" w:w="22%"/>
            <w:vAlign w:val="center"/>
          </w:tcPr>
          <w:p>
            <w:r>
              <w:rPr>
                <w:b w:val="false"/>
                <w:bCs w:val="false"/>
                <w:sz w:val="20"/>
                <w:szCs w:val="20"/>
              </w:rPr>
              <w:t xml:space="preserve">assessed_value</w:t>
            </w:r>
          </w:p>
        </w:tc>
        <w:tc>
          <w:tcPr>
            <w:tcW w:type="pct" w:w="20%"/>
            <w:vAlign w:val="center"/>
          </w:tcPr>
          <w:p>
            <w:r>
              <w:rPr>
                <w:b w:val="false"/>
                <w:bCs w:val="false"/>
                <w:sz w:val="20"/>
                <w:szCs w:val="20"/>
              </w:rPr>
              <w:t xml:space="preserve">numeric(14,2)</w:t>
            </w:r>
          </w:p>
        </w:tc>
        <w:tc>
          <w:tcPr>
            <w:tcW w:type="pct" w:w="22%"/>
            <w:vAlign w:val="center"/>
          </w:tcPr>
          <w:p>
            <w:r>
              <w:rPr>
                <w:b w:val="false"/>
                <w:bCs w:val="false"/>
                <w:sz w:val="20"/>
                <w:szCs w:val="20"/>
              </w:rPr>
              <w:t xml:space="preserve"/>
            </w:r>
          </w:p>
        </w:tc>
        <w:tc>
          <w:tcPr>
            <w:tcW w:type="pct" w:w="16%"/>
            <w:vAlign w:val="center"/>
          </w:tcPr>
          <w:p>
            <w:r>
              <w:rPr>
                <w:b w:val="false"/>
                <w:bCs w:val="false"/>
                <w:sz w:val="20"/>
                <w:szCs w:val="20"/>
              </w:rPr>
              <w:t xml:space="preserve">NOT NULL</w:t>
            </w:r>
          </w:p>
        </w:tc>
        <w:tc>
          <w:tcPr>
            <w:tcW w:type="pct" w:w="20%"/>
            <w:vAlign w:val="center"/>
          </w:tcPr>
          <w:p>
            <w:r>
              <w:rPr>
                <w:b w:val="false"/>
                <w:bCs w:val="false"/>
                <w:sz w:val="20"/>
                <w:szCs w:val="20"/>
              </w:rPr>
              <w:t xml:space="preserve">CHECK</w:t>
            </w:r>
          </w:p>
        </w:tc>
      </w:tr>
    </w:tbl>
    <w:p>
      <w:pPr>
        <w:pStyle w:val="Heading1"/>
        <w:spacing w:after="180" w:before="360"/>
      </w:pPr>
      <w:r>
        <w:t xml:space="preserve">7. Normalisation and Design Rationale</w:t>
      </w:r>
    </w:p>
    <w:p>
      <w:pPr>
        <w:pStyle w:val="Heading2"/>
        <w:spacing w:after="140" w:before="260"/>
      </w:pPr>
      <w:r>
        <w:t xml:space="preserve">7.1 Worked Example: ret_pos_transactions / ret_line_items</w:t>
      </w:r>
    </w:p>
    <w:p>
      <w:pPr>
        <w:spacing w:after="160"/>
      </w:pPr>
      <w:r>
        <w:t xml:space="preserve">A naive first draft might store product_id, quantity, and unit_price directly on the transaction row. This fails First Normal Form once a transaction with multiple products is considered — it would require repeating columns or a delimited list, neither of which is atomic. The corrected design splits this into two tables: ret_pos_transactions holds one row per sale event; ret_line_items holds one row per product within that transaction, where quantity and unit_price depend on the (transaction, product) pair specifically, not on the transaction alone. Every non-key attribute in both tables now depends on the whole of its table's primary key and nothing else — Third Normal Form.</w:t>
      </w:r>
    </w:p>
    <w:p>
      <w:pPr>
        <w:pStyle w:val="Heading2"/>
        <w:spacing w:after="140" w:before="260"/>
      </w:pPr>
      <w:r>
        <w:t xml:space="preserve">7.2 Worked Example: agr_farms / agr_farmers / hub_suppliers</w:t>
      </w:r>
    </w:p>
    <w:p>
      <w:pPr>
        <w:spacing w:after="160"/>
      </w:pPr>
      <w:r>
        <w:t xml:space="preserve">Section 5.3 of the brief states a supplier may correspond to at most one farmer profile, but need not be a farmer at all. A first draft might add farmer-specific columns directly onto hub_suppliers, leaving them NULL for most suppliers and creating a transitive dependency on a value unrelated to the supplier's own key. The corrected design keeps hub_suppliers as the pure shared identity, with agr_farmers as a separate entity linked by a UNIQUE foreign key enforcing the zero-or-one cardinality, and agr_farms separate again since one farmer may register multiple farms.</w:t>
      </w:r>
    </w:p>
    <w:p>
      <w:pPr>
        <w:pStyle w:val="Heading2"/>
        <w:spacing w:after="140" w:before="260"/>
      </w:pPr>
      <w:r>
        <w:t xml:space="preserve">7.3 Deliberate Denormalisation: prop_leases.is_current</w:t>
      </w:r>
    </w:p>
    <w:p>
      <w:pPr>
        <w:spacing w:after="160"/>
      </w:pPr>
      <w:r>
        <w:t xml:space="preserve">This column is a maintained cache of a value that could, in principle, be computed live. It exists because PostgreSQL's CURRENT_DATE is not IMMUTABLE and cannot be referenced inside a partial index predicate — and the Section 5.3 rule ("at most one active lease per tenant") is enforced by exactly such a partial unique index. A trigger keeps is_current synchronised on every insert or update, discovered as a genuine build-time necessity, not a stylistic choice.</w:t>
      </w:r>
    </w:p>
    <w:p>
      <w:pPr>
        <w:pStyle w:val="Heading1"/>
        <w:spacing w:after="180" w:before="360"/>
      </w:pPr>
      <w:r>
        <w:t xml:space="preserve">8. Security, Consent, and Row Level Security Model</w:t>
      </w:r>
    </w:p>
    <w:p>
      <w:pPr>
        <w:pStyle w:val="Heading2"/>
        <w:spacing w:after="140" w:before="260"/>
      </w:pPr>
      <w:r>
        <w:t xml:space="preserve">8.1 The Six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2C2C2A" w:val="clear"/>
            <w:vAlign w:val="center"/>
          </w:tcPr>
          <w:p>
            <w:r>
              <w:rPr>
                <w:b/>
                <w:bCs/>
                <w:color w:val="FFFFFF"/>
                <w:sz w:val="20"/>
                <w:szCs w:val="20"/>
              </w:rPr>
              <w:t xml:space="preserve">Role</w:t>
            </w:r>
          </w:p>
        </w:tc>
        <w:tc>
          <w:tcPr>
            <w:tcW w:type="pct" w:w="78%"/>
            <w:shd w:fill="2C2C2A" w:val="clear"/>
            <w:vAlign w:val="center"/>
          </w:tcPr>
          <w:p>
            <w:r>
              <w:rPr>
                <w:b/>
                <w:bCs/>
                <w:color w:val="FFFFFF"/>
                <w:sz w:val="20"/>
                <w:szCs w:val="20"/>
              </w:rPr>
              <w:t xml:space="preserve">Access pattern</w:t>
            </w:r>
          </w:p>
        </w:tc>
      </w:tr>
      <w:tr>
        <w:tc>
          <w:tcPr>
            <w:tcW w:type="pct" w:w="22%"/>
            <w:vAlign w:val="center"/>
          </w:tcPr>
          <w:p>
            <w:r>
              <w:rPr>
                <w:b w:val="false"/>
                <w:bCs w:val="false"/>
                <w:sz w:val="20"/>
                <w:szCs w:val="20"/>
              </w:rPr>
              <w:t xml:space="preserve">retail_ops</w:t>
            </w:r>
          </w:p>
        </w:tc>
        <w:tc>
          <w:tcPr>
            <w:tcW w:type="pct" w:w="78%"/>
            <w:vAlign w:val="center"/>
          </w:tcPr>
          <w:p>
            <w:r>
              <w:rPr>
                <w:b w:val="false"/>
                <w:bCs w:val="false"/>
                <w:sz w:val="20"/>
                <w:szCs w:val="20"/>
              </w:rPr>
              <w:t xml:space="preserve">Full read/write on all 7 Retail tables. Read-only on Hub tables.</w:t>
            </w:r>
          </w:p>
        </w:tc>
      </w:tr>
      <w:tr>
        <w:tc>
          <w:tcPr>
            <w:tcW w:type="pct" w:w="22%"/>
            <w:vAlign w:val="center"/>
          </w:tcPr>
          <w:p>
            <w:r>
              <w:rPr>
                <w:b w:val="false"/>
                <w:bCs w:val="false"/>
                <w:sz w:val="20"/>
                <w:szCs w:val="20"/>
              </w:rPr>
              <w:t xml:space="preserve">logistics_ops</w:t>
            </w:r>
          </w:p>
        </w:tc>
        <w:tc>
          <w:tcPr>
            <w:tcW w:type="pct" w:w="78%"/>
            <w:vAlign w:val="center"/>
          </w:tcPr>
          <w:p>
            <w:r>
              <w:rPr>
                <w:b w:val="false"/>
                <w:bCs w:val="false"/>
                <w:sz w:val="20"/>
                <w:szCs w:val="20"/>
              </w:rPr>
              <w:t xml:space="preserve">Full read/write on Logistics tables; read-only on prop_leases for warehouse status visibility (the Scenario 3 fix).</w:t>
            </w:r>
          </w:p>
        </w:tc>
      </w:tr>
      <w:tr>
        <w:tc>
          <w:tcPr>
            <w:tcW w:type="pct" w:w="22%"/>
            <w:vAlign w:val="center"/>
          </w:tcPr>
          <w:p>
            <w:r>
              <w:rPr>
                <w:b w:val="false"/>
                <w:bCs w:val="false"/>
                <w:sz w:val="20"/>
                <w:szCs w:val="20"/>
              </w:rPr>
              <w:t xml:space="preserve">agricore_ops</w:t>
            </w:r>
          </w:p>
        </w:tc>
        <w:tc>
          <w:tcPr>
            <w:tcW w:type="pct" w:w="78%"/>
            <w:vAlign w:val="center"/>
          </w:tcPr>
          <w:p>
            <w:r>
              <w:rPr>
                <w:b w:val="false"/>
                <w:bCs w:val="false"/>
                <w:sz w:val="20"/>
                <w:szCs w:val="20"/>
              </w:rPr>
              <w:t xml:space="preserve">Full read/write on all 7 AgriCore tables.</w:t>
            </w:r>
          </w:p>
        </w:tc>
      </w:tr>
      <w:tr>
        <w:tc>
          <w:tcPr>
            <w:tcW w:type="pct" w:w="22%"/>
            <w:vAlign w:val="center"/>
          </w:tcPr>
          <w:p>
            <w:r>
              <w:rPr>
                <w:b w:val="false"/>
                <w:bCs w:val="false"/>
                <w:sz w:val="20"/>
                <w:szCs w:val="20"/>
              </w:rPr>
              <w:t xml:space="preserve">properties_ops</w:t>
            </w:r>
          </w:p>
        </w:tc>
        <w:tc>
          <w:tcPr>
            <w:tcW w:type="pct" w:w="78%"/>
            <w:vAlign w:val="center"/>
          </w:tcPr>
          <w:p>
            <w:r>
              <w:rPr>
                <w:b w:val="false"/>
                <w:bCs w:val="false"/>
                <w:sz w:val="20"/>
                <w:szCs w:val="20"/>
              </w:rPr>
              <w:t xml:space="preserve">Full read/write on all 7 Properties tables.</w:t>
            </w:r>
          </w:p>
        </w:tc>
      </w:tr>
      <w:tr>
        <w:tc>
          <w:tcPr>
            <w:tcW w:type="pct" w:w="22%"/>
            <w:vAlign w:val="center"/>
          </w:tcPr>
          <w:p>
            <w:r>
              <w:rPr>
                <w:b w:val="false"/>
                <w:bCs w:val="false"/>
                <w:sz w:val="20"/>
                <w:szCs w:val="20"/>
              </w:rPr>
              <w:t xml:space="preserve">financial_services</w:t>
            </w:r>
          </w:p>
        </w:tc>
        <w:tc>
          <w:tcPr>
            <w:tcW w:type="pct" w:w="78%"/>
            <w:vAlign w:val="center"/>
          </w:tcPr>
          <w:p>
            <w:r>
              <w:rPr>
                <w:b w:val="false"/>
                <w:bCs w:val="false"/>
                <w:sz w:val="20"/>
                <w:szCs w:val="20"/>
              </w:rPr>
              <w:t xml:space="preserve">Full read/write on all 6 VFS tables — narrowest write access of any role elsewhere in the system, per Section 4.4.</w:t>
            </w:r>
          </w:p>
        </w:tc>
      </w:tr>
      <w:tr>
        <w:tc>
          <w:tcPr>
            <w:tcW w:type="pct" w:w="22%"/>
            <w:vAlign w:val="center"/>
          </w:tcPr>
          <w:p>
            <w:r>
              <w:rPr>
                <w:b w:val="false"/>
                <w:bCs w:val="false"/>
                <w:sz w:val="20"/>
                <w:szCs w:val="20"/>
              </w:rPr>
              <w:t xml:space="preserve">group_executive</w:t>
            </w:r>
          </w:p>
        </w:tc>
        <w:tc>
          <w:tcPr>
            <w:tcW w:type="pct" w:w="78%"/>
            <w:vAlign w:val="center"/>
          </w:tcPr>
          <w:p>
            <w:r>
              <w:rPr>
                <w:b w:val="false"/>
                <w:bCs w:val="false"/>
                <w:sz w:val="20"/>
                <w:szCs w:val="20"/>
              </w:rPr>
              <w:t xml:space="preserve">Broad but not unrestricted read access — explicitly excluded from vfs_kyc_records and vfs_wallet_transactions.</w:t>
            </w:r>
          </w:p>
        </w:tc>
      </w:tr>
    </w:tbl>
    <w:p>
      <w:pPr>
        <w:pStyle w:val="Heading2"/>
        <w:spacing w:after="140" w:before="260"/>
      </w:pPr>
      <w:r>
        <w:t xml:space="preserve">8.2 Verified Enforcement</w:t>
      </w:r>
    </w:p>
    <w:p>
      <w:pPr>
        <w:spacing w:after="160"/>
      </w:pPr>
      <w:r>
        <w:t xml:space="preserve">Live-verified against the deployed database: 40 of 40 tables have Row Level Security enabled, 44 policies exist matching the design specification, and zero dangling foreign keys were found across the full schema — checked directly via pg_policies and pg_constraint, not assumed.</w:t>
      </w:r>
    </w:p>
    <w:p>
      <w:pPr>
        <w:pStyle w:val="Heading1"/>
        <w:spacing w:after="180" w:before="360"/>
      </w:pPr>
      <w:r>
        <w:t xml:space="preserve">9. ELT Pipeline — Built, Tested, and Run for Real</w:t>
      </w:r>
    </w:p>
    <w:p>
      <w:pPr>
        <w:spacing w:after="160"/>
      </w:pPr>
      <w:r>
        <w:t xml:space="preserve">Unlike a specification awaiting implementation, this section documents a pipeline that has genuinely executed against live infrastructure — Supabase to BigQuery, for real, with real data.</w:t>
      </w:r>
    </w:p>
    <w:p>
      <w:pPr>
        <w:pStyle w:val="Heading2"/>
        <w:spacing w:after="140" w:before="260"/>
      </w:pPr>
      <w:r>
        <w:t xml:space="preserve">9.1 Curated View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2C2C2A" w:val="clear"/>
            <w:vAlign w:val="center"/>
          </w:tcPr>
          <w:p>
            <w:r>
              <w:rPr>
                <w:b/>
                <w:bCs/>
                <w:color w:val="FFFFFF"/>
                <w:sz w:val="20"/>
                <w:szCs w:val="20"/>
              </w:rPr>
              <w:t xml:space="preserve">View</w:t>
            </w:r>
          </w:p>
        </w:tc>
        <w:tc>
          <w:tcPr>
            <w:tcW w:type="pct" w:w="15%"/>
            <w:shd w:fill="2C2C2A" w:val="clear"/>
            <w:vAlign w:val="center"/>
          </w:tcPr>
          <w:p>
            <w:r>
              <w:rPr>
                <w:b/>
                <w:bCs/>
                <w:color w:val="FFFFFF"/>
                <w:sz w:val="20"/>
                <w:szCs w:val="20"/>
              </w:rPr>
              <w:t xml:space="preserve">Serves</w:t>
            </w:r>
          </w:p>
        </w:tc>
        <w:tc>
          <w:tcPr>
            <w:tcW w:type="pct" w:w="15%"/>
            <w:shd w:fill="2C2C2A" w:val="clear"/>
            <w:vAlign w:val="center"/>
          </w:tcPr>
          <w:p>
            <w:r>
              <w:rPr>
                <w:b/>
                <w:bCs/>
                <w:color w:val="FFFFFF"/>
                <w:sz w:val="20"/>
                <w:szCs w:val="20"/>
              </w:rPr>
              <w:t xml:space="preserve">Rows loaded (real)</w:t>
            </w:r>
          </w:p>
        </w:tc>
        <w:tc>
          <w:tcPr>
            <w:tcW w:type="pct" w:w="45%"/>
            <w:shd w:fill="2C2C2A" w:val="clear"/>
            <w:vAlign w:val="center"/>
          </w:tcPr>
          <w:p>
            <w:r>
              <w:rPr>
                <w:b/>
                <w:bCs/>
                <w:color w:val="FFFFFF"/>
                <w:sz w:val="20"/>
                <w:szCs w:val="20"/>
              </w:rPr>
              <w:t xml:space="preserve">Purpose</w:t>
            </w:r>
          </w:p>
        </w:tc>
      </w:tr>
      <w:tr>
        <w:tc>
          <w:tcPr>
            <w:tcW w:type="pct" w:w="25%"/>
            <w:vAlign w:val="center"/>
          </w:tcPr>
          <w:p>
            <w:r>
              <w:rPr>
                <w:b w:val="false"/>
                <w:bCs w:val="false"/>
                <w:sz w:val="20"/>
                <w:szCs w:val="20"/>
              </w:rPr>
              <w:t xml:space="preserve">vw_elt_supply_signal</w:t>
            </w:r>
          </w:p>
        </w:tc>
        <w:tc>
          <w:tcPr>
            <w:tcW w:type="pct" w:w="15%"/>
            <w:vAlign w:val="center"/>
          </w:tcPr>
          <w:p>
            <w:r>
              <w:rPr>
                <w:b w:val="false"/>
                <w:bCs w:val="false"/>
                <w:sz w:val="20"/>
                <w:szCs w:val="20"/>
              </w:rPr>
              <w:t xml:space="preserve">Scenario 1</w:t>
            </w:r>
          </w:p>
        </w:tc>
        <w:tc>
          <w:tcPr>
            <w:tcW w:type="pct" w:w="15%"/>
            <w:vAlign w:val="center"/>
          </w:tcPr>
          <w:p>
            <w:r>
              <w:rPr>
                <w:b w:val="false"/>
                <w:bCs w:val="false"/>
                <w:sz w:val="20"/>
                <w:szCs w:val="20"/>
              </w:rPr>
              <w:t xml:space="preserve">2,109</w:t>
            </w:r>
          </w:p>
        </w:tc>
        <w:tc>
          <w:tcPr>
            <w:tcW w:type="pct" w:w="45%"/>
            <w:vAlign w:val="center"/>
          </w:tcPr>
          <w:p>
            <w:r>
              <w:rPr>
                <w:b w:val="false"/>
                <w:bCs w:val="false"/>
                <w:sz w:val="20"/>
                <w:szCs w:val="20"/>
              </w:rPr>
              <w:t xml:space="preserve">Harvest -&gt; processing -&gt; delivery, flagging at-risk deliveries.</w:t>
            </w:r>
          </w:p>
        </w:tc>
      </w:tr>
      <w:tr>
        <w:tc>
          <w:tcPr>
            <w:tcW w:type="pct" w:w="25%"/>
            <w:vAlign w:val="center"/>
          </w:tcPr>
          <w:p>
            <w:r>
              <w:rPr>
                <w:b w:val="false"/>
                <w:bCs w:val="false"/>
                <w:sz w:val="20"/>
                <w:szCs w:val="20"/>
              </w:rPr>
              <w:t xml:space="preserve">vw_elt_farmer_credit_summary</w:t>
            </w:r>
          </w:p>
        </w:tc>
        <w:tc>
          <w:tcPr>
            <w:tcW w:type="pct" w:w="15%"/>
            <w:vAlign w:val="center"/>
          </w:tcPr>
          <w:p>
            <w:r>
              <w:rPr>
                <w:b w:val="false"/>
                <w:bCs w:val="false"/>
                <w:sz w:val="20"/>
                <w:szCs w:val="20"/>
              </w:rPr>
              <w:t xml:space="preserve">Scenario 2</w:t>
            </w:r>
          </w:p>
        </w:tc>
        <w:tc>
          <w:tcPr>
            <w:tcW w:type="pct" w:w="15%"/>
            <w:vAlign w:val="center"/>
          </w:tcPr>
          <w:p>
            <w:r>
              <w:rPr>
                <w:b w:val="false"/>
                <w:bCs w:val="false"/>
                <w:sz w:val="20"/>
                <w:szCs w:val="20"/>
              </w:rPr>
              <w:t xml:space="preserve">1,123</w:t>
            </w:r>
          </w:p>
        </w:tc>
        <w:tc>
          <w:tcPr>
            <w:tcW w:type="pct" w:w="45%"/>
            <w:vAlign w:val="center"/>
          </w:tcPr>
          <w:p>
            <w:r>
              <w:rPr>
                <w:b w:val="false"/>
                <w:bCs w:val="false"/>
                <w:sz w:val="20"/>
                <w:szCs w:val="20"/>
              </w:rPr>
              <w:t xml:space="preserve">Aggregated farmer supply history joined to loan status.</w:t>
            </w:r>
          </w:p>
        </w:tc>
      </w:tr>
      <w:tr>
        <w:tc>
          <w:tcPr>
            <w:tcW w:type="pct" w:w="25%"/>
            <w:vAlign w:val="center"/>
          </w:tcPr>
          <w:p>
            <w:r>
              <w:rPr>
                <w:b w:val="false"/>
                <w:bCs w:val="false"/>
                <w:sz w:val="20"/>
                <w:szCs w:val="20"/>
              </w:rPr>
              <w:t xml:space="preserve">vw_elt_warehouse_lease_status</w:t>
            </w:r>
          </w:p>
        </w:tc>
        <w:tc>
          <w:tcPr>
            <w:tcW w:type="pct" w:w="15%"/>
            <w:vAlign w:val="center"/>
          </w:tcPr>
          <w:p>
            <w:r>
              <w:rPr>
                <w:b w:val="false"/>
                <w:bCs w:val="false"/>
                <w:sz w:val="20"/>
                <w:szCs w:val="20"/>
              </w:rPr>
              <w:t xml:space="preserve">Scenario 3</w:t>
            </w:r>
          </w:p>
        </w:tc>
        <w:tc>
          <w:tcPr>
            <w:tcW w:type="pct" w:w="15%"/>
            <w:vAlign w:val="center"/>
          </w:tcPr>
          <w:p>
            <w:r>
              <w:rPr>
                <w:b w:val="false"/>
                <w:bCs w:val="false"/>
                <w:sz w:val="20"/>
                <w:szCs w:val="20"/>
              </w:rPr>
              <w:t xml:space="preserve">24</w:t>
            </w:r>
          </w:p>
        </w:tc>
        <w:tc>
          <w:tcPr>
            <w:tcW w:type="pct" w:w="45%"/>
            <w:vAlign w:val="center"/>
          </w:tcPr>
          <w:p>
            <w:r>
              <w:rPr>
                <w:b w:val="false"/>
                <w:bCs w:val="false"/>
                <w:sz w:val="20"/>
                <w:szCs w:val="20"/>
              </w:rPr>
              <w:t xml:space="preserve">Every warehouse joined to its current lease and tenant.</w:t>
            </w:r>
          </w:p>
        </w:tc>
      </w:tr>
      <w:tr>
        <w:tc>
          <w:tcPr>
            <w:tcW w:type="pct" w:w="25%"/>
            <w:vAlign w:val="center"/>
          </w:tcPr>
          <w:p>
            <w:r>
              <w:rPr>
                <w:b w:val="false"/>
                <w:bCs w:val="false"/>
                <w:sz w:val="20"/>
                <w:szCs w:val="20"/>
              </w:rPr>
              <w:t xml:space="preserve">vw_elt_daily_revenue_by_division</w:t>
            </w:r>
          </w:p>
        </w:tc>
        <w:tc>
          <w:tcPr>
            <w:tcW w:type="pct" w:w="15%"/>
            <w:vAlign w:val="center"/>
          </w:tcPr>
          <w:p>
            <w:r>
              <w:rPr>
                <w:b w:val="false"/>
                <w:bCs w:val="false"/>
                <w:sz w:val="20"/>
                <w:szCs w:val="20"/>
              </w:rPr>
              <w:t xml:space="preserve">Scenario 4</w:t>
            </w:r>
          </w:p>
        </w:tc>
        <w:tc>
          <w:tcPr>
            <w:tcW w:type="pct" w:w="15%"/>
            <w:vAlign w:val="center"/>
          </w:tcPr>
          <w:p>
            <w:r>
              <w:rPr>
                <w:b w:val="false"/>
                <w:bCs w:val="false"/>
                <w:sz w:val="20"/>
                <w:szCs w:val="20"/>
              </w:rPr>
              <w:t xml:space="preserve">162</w:t>
            </w:r>
          </w:p>
        </w:tc>
        <w:tc>
          <w:tcPr>
            <w:tcW w:type="pct" w:w="45%"/>
            <w:vAlign w:val="center"/>
          </w:tcPr>
          <w:p>
            <w:r>
              <w:rPr>
                <w:b w:val="false"/>
                <w:bCs w:val="false"/>
                <w:sz w:val="20"/>
                <w:szCs w:val="20"/>
              </w:rPr>
              <w:t xml:space="preserve">Same-day revenue signal per division.</w:t>
            </w:r>
          </w:p>
        </w:tc>
      </w:tr>
      <w:tr>
        <w:tc>
          <w:tcPr>
            <w:tcW w:type="pct" w:w="25%"/>
            <w:vAlign w:val="center"/>
          </w:tcPr>
          <w:p>
            <w:r>
              <w:rPr>
                <w:b w:val="false"/>
                <w:bCs w:val="false"/>
                <w:sz w:val="20"/>
                <w:szCs w:val="20"/>
              </w:rPr>
              <w:t xml:space="preserve">vw_elt_retail_sales_fact</w:t>
            </w:r>
          </w:p>
        </w:tc>
        <w:tc>
          <w:tcPr>
            <w:tcW w:type="pct" w:w="15%"/>
            <w:vAlign w:val="center"/>
          </w:tcPr>
          <w:p>
            <w:r>
              <w:rPr>
                <w:b w:val="false"/>
                <w:bCs w:val="false"/>
                <w:sz w:val="20"/>
                <w:szCs w:val="20"/>
              </w:rPr>
              <w:t xml:space="preserve">General dashboards</w:t>
            </w:r>
          </w:p>
        </w:tc>
        <w:tc>
          <w:tcPr>
            <w:tcW w:type="pct" w:w="15%"/>
            <w:vAlign w:val="center"/>
          </w:tcPr>
          <w:p>
            <w:r>
              <w:rPr>
                <w:b w:val="false"/>
                <w:bCs w:val="false"/>
                <w:sz w:val="20"/>
                <w:szCs w:val="20"/>
              </w:rPr>
              <w:t xml:space="preserve">262,165</w:t>
            </w:r>
          </w:p>
        </w:tc>
        <w:tc>
          <w:tcPr>
            <w:tcW w:type="pct" w:w="45%"/>
            <w:vAlign w:val="center"/>
          </w:tcPr>
          <w:p>
            <w:r>
              <w:rPr>
                <w:b w:val="false"/>
                <w:bCs w:val="false"/>
                <w:sz w:val="20"/>
                <w:szCs w:val="20"/>
              </w:rPr>
              <w:t xml:space="preserve">Product- and location-level sales fact.</w:t>
            </w:r>
          </w:p>
        </w:tc>
      </w:tr>
    </w:tbl>
    <w:p>
      <w:pPr>
        <w:pStyle w:val="Heading2"/>
        <w:spacing w:after="140" w:before="260"/>
      </w:pPr>
      <w:r>
        <w:t xml:space="preserve">9.2 Live Run Result</w:t>
      </w:r>
    </w:p>
    <w:p>
      <w:pPr>
        <w:spacing w:after="160"/>
      </w:pPr>
      <w:r>
        <w:t xml:space="preserve">The final, successful production run — not a dry-run — completed with:</w:t>
      </w:r>
    </w:p>
    <w:p>
      <w:pPr>
        <w:shd w:fill="F2F2F0" w:val="clear"/>
        <w:spacing w:after="40"/>
        <w:ind w:left="360"/>
      </w:pPr>
      <w:r>
        <w:rPr>
          <w:rFonts w:ascii="Courier New" w:cs="Courier New" w:eastAsia="Courier New" w:hAnsi="Courier New"/>
          <w:sz w:val="18"/>
          <w:szCs w:val="18"/>
        </w:rPr>
        <w:t xml:space="preserve">RUN SUMMARY</w:t>
      </w:r>
    </w:p>
    <w:p>
      <w:pPr>
        <w:shd w:fill="F2F2F0" w:val="clear"/>
        <w:spacing w:after="40"/>
        <w:ind w:left="360"/>
      </w:pPr>
      <w:r>
        <w:rPr>
          <w:rFonts w:ascii="Courier New" w:cs="Courier New" w:eastAsia="Courier New" w:hAnsi="Courier New"/>
          <w:sz w:val="18"/>
          <w:szCs w:val="18"/>
        </w:rPr>
        <w:t xml:space="preserve">[OK] fact_supply_signal                 2,109 rows</w:t>
      </w:r>
    </w:p>
    <w:p>
      <w:pPr>
        <w:shd w:fill="F2F2F0" w:val="clear"/>
        <w:spacing w:after="40"/>
        <w:ind w:left="360"/>
      </w:pPr>
      <w:r>
        <w:rPr>
          <w:rFonts w:ascii="Courier New" w:cs="Courier New" w:eastAsia="Courier New" w:hAnsi="Courier New"/>
          <w:sz w:val="18"/>
          <w:szCs w:val="18"/>
        </w:rPr>
        <w:t xml:space="preserve">[OK] fact_farmer_credit_summary          1,123 rows</w:t>
      </w:r>
    </w:p>
    <w:p>
      <w:pPr>
        <w:shd w:fill="F2F2F0" w:val="clear"/>
        <w:spacing w:after="40"/>
        <w:ind w:left="360"/>
      </w:pPr>
      <w:r>
        <w:rPr>
          <w:rFonts w:ascii="Courier New" w:cs="Courier New" w:eastAsia="Courier New" w:hAnsi="Courier New"/>
          <w:sz w:val="18"/>
          <w:szCs w:val="18"/>
        </w:rPr>
        <w:t xml:space="preserve">[OK] fact_warehouse_lease_status            24 rows</w:t>
      </w:r>
    </w:p>
    <w:p>
      <w:pPr>
        <w:shd w:fill="F2F2F0" w:val="clear"/>
        <w:spacing w:after="40"/>
        <w:ind w:left="360"/>
      </w:pPr>
      <w:r>
        <w:rPr>
          <w:rFonts w:ascii="Courier New" w:cs="Courier New" w:eastAsia="Courier New" w:hAnsi="Courier New"/>
          <w:sz w:val="18"/>
          <w:szCs w:val="18"/>
        </w:rPr>
        <w:t xml:space="preserve">[OK] fact_daily_revenue_by_division        162 rows</w:t>
      </w:r>
    </w:p>
    <w:p>
      <w:pPr>
        <w:shd w:fill="F2F2F0" w:val="clear"/>
        <w:spacing w:after="40"/>
        <w:ind w:left="360"/>
      </w:pPr>
      <w:r>
        <w:rPr>
          <w:rFonts w:ascii="Courier New" w:cs="Courier New" w:eastAsia="Courier New" w:hAnsi="Courier New"/>
          <w:sz w:val="18"/>
          <w:szCs w:val="18"/>
        </w:rPr>
        <w:t xml:space="preserve">[OK] fact_retail_sales                 262,165 rows</w:t>
      </w:r>
    </w:p>
    <w:p>
      <w:pPr>
        <w:shd w:fill="F2F2F0" w:val="clear"/>
        <w:spacing w:after="40"/>
        <w:ind w:left="360"/>
      </w:pPr>
      <w:r>
        <w:rPr>
          <w:rFonts w:ascii="Courier New" w:cs="Courier New" w:eastAsia="Courier New" w:hAnsi="Courier New"/>
          <w:sz w:val="18"/>
          <w:szCs w:val="18"/>
        </w:rPr>
        <w:t xml:space="preserve">Completed in 76.9s. 5/5 jobs succeeded.</w:t>
      </w:r>
    </w:p>
    <w:p>
      <w:pPr>
        <w:pStyle w:val="Heading2"/>
        <w:spacing w:after="140" w:before="260"/>
      </w:pPr>
      <w:r>
        <w:t xml:space="preserve">9.3 Two Real Bugs Found and Fixed During This Build</w:t>
      </w:r>
    </w:p>
    <w:p>
      <w:pPr>
        <w:spacing w:after="160"/>
      </w:pPr>
      <w:r>
        <w:rPr>
          <w:b/>
          <w:bCs/>
        </w:rPr>
        <w:t xml:space="preserve">Bug 1 — dry-run touching real credentials: </w:t>
      </w:r>
      <w:r>
        <w:t xml:space="preserve">the pipeline's dry-run mode was written to skip BigQuery only if BQ_PROJECT_ID was unset — but the setup instructions correctly told the team to set it, meaning dry-run always attempted a real, credential-requiring connection. Fixed so dry-run never touches BigQuery credentials under any circumstance.</w:t>
      </w:r>
    </w:p>
    <w:p>
      <w:pPr>
        <w:spacing w:after="160"/>
      </w:pPr>
      <w:r>
        <w:rPr>
          <w:b/>
          <w:bCs/>
        </w:rPr>
        <w:t xml:space="preserve">Bug 2 — UUID columns rejected by BigQuery's loader: </w:t>
      </w:r>
      <w:r>
        <w:t xml:space="preserve">PostgreSQL uuid columns arrive in Python as uuid.UUID objects, which BigQuery's Arrow-based loader cannot type-infer. Every table with a UUID column failed on the first live attempt; the one table without any UUID columns succeeded — direct evidence pinpointing the cause. Fixed by converting UUID-object columns to plain strings immediately after extraction, verified against all 5 views before being trusted.</w:t>
      </w:r>
    </w:p>
    <w:p>
      <w:pPr>
        <w:pStyle w:val="Heading1"/>
        <w:spacing w:after="180" w:before="360"/>
      </w:pPr>
      <w:r>
        <w:t xml:space="preserve">10. Dashboards — Live in Looker Studio</w:t>
      </w:r>
    </w:p>
    <w:p>
      <w:pPr>
        <w:spacing w:after="160"/>
      </w:pPr>
      <w:r>
        <w:t xml:space="preserve">All four required stakeholder scenarios, plus a bonus divisional sales view, exist as live, working Looker Studio pages connected directly to the BigQuery dataset described in Section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2C2C2A" w:val="clear"/>
            <w:vAlign w:val="center"/>
          </w:tcPr>
          <w:p>
            <w:r>
              <w:rPr>
                <w:b/>
                <w:bCs/>
                <w:color w:val="FFFFFF"/>
                <w:sz w:val="20"/>
                <w:szCs w:val="20"/>
              </w:rPr>
              <w:t xml:space="preserve">Dashboard page</w:t>
            </w:r>
          </w:p>
        </w:tc>
        <w:tc>
          <w:tcPr>
            <w:tcW w:type="pct" w:w="25%"/>
            <w:shd w:fill="2C2C2A" w:val="clear"/>
            <w:vAlign w:val="center"/>
          </w:tcPr>
          <w:p>
            <w:r>
              <w:rPr>
                <w:b/>
                <w:bCs/>
                <w:color w:val="FFFFFF"/>
                <w:sz w:val="20"/>
                <w:szCs w:val="20"/>
              </w:rPr>
              <w:t xml:space="preserve">Data source</w:t>
            </w:r>
          </w:p>
        </w:tc>
        <w:tc>
          <w:tcPr>
            <w:tcW w:type="pct" w:w="53%"/>
            <w:shd w:fill="2C2C2A" w:val="clear"/>
            <w:vAlign w:val="center"/>
          </w:tcPr>
          <w:p>
            <w:r>
              <w:rPr>
                <w:b/>
                <w:bCs/>
                <w:color w:val="FFFFFF"/>
                <w:sz w:val="20"/>
                <w:szCs w:val="20"/>
              </w:rPr>
              <w:t xml:space="preserve">Contents</w:t>
            </w:r>
          </w:p>
        </w:tc>
      </w:tr>
      <w:tr>
        <w:tc>
          <w:tcPr>
            <w:tcW w:type="pct" w:w="22%"/>
            <w:vAlign w:val="center"/>
          </w:tcPr>
          <w:p>
            <w:r>
              <w:rPr>
                <w:b w:val="false"/>
                <w:bCs w:val="false"/>
                <w:sz w:val="20"/>
                <w:szCs w:val="20"/>
              </w:rPr>
              <w:t xml:space="preserve">Scenario 1 - Ngozi</w:t>
            </w:r>
          </w:p>
        </w:tc>
        <w:tc>
          <w:tcPr>
            <w:tcW w:type="pct" w:w="25%"/>
            <w:vAlign w:val="center"/>
          </w:tcPr>
          <w:p>
            <w:r>
              <w:rPr>
                <w:b w:val="false"/>
                <w:bCs w:val="false"/>
                <w:sz w:val="20"/>
                <w:szCs w:val="20"/>
              </w:rPr>
              <w:t xml:space="preserve">fact_supply_signal</w:t>
            </w:r>
          </w:p>
        </w:tc>
        <w:tc>
          <w:tcPr>
            <w:tcW w:type="pct" w:w="53%"/>
            <w:vAlign w:val="center"/>
          </w:tcPr>
          <w:p>
            <w:r>
              <w:rPr>
                <w:b w:val="false"/>
                <w:bCs w:val="false"/>
                <w:sz w:val="20"/>
                <w:szCs w:val="20"/>
              </w:rPr>
              <w:t xml:space="preserve">Scorecard (at-risk count) + detail table, filtered to is_at_risk = true.</w:t>
            </w:r>
          </w:p>
        </w:tc>
      </w:tr>
      <w:tr>
        <w:tc>
          <w:tcPr>
            <w:tcW w:type="pct" w:w="22%"/>
            <w:vAlign w:val="center"/>
          </w:tcPr>
          <w:p>
            <w:r>
              <w:rPr>
                <w:b w:val="false"/>
                <w:bCs w:val="false"/>
                <w:sz w:val="20"/>
                <w:szCs w:val="20"/>
              </w:rPr>
              <w:t xml:space="preserve">Scenario 2 - Chinedu</w:t>
            </w:r>
          </w:p>
        </w:tc>
        <w:tc>
          <w:tcPr>
            <w:tcW w:type="pct" w:w="25%"/>
            <w:vAlign w:val="center"/>
          </w:tcPr>
          <w:p>
            <w:r>
              <w:rPr>
                <w:b w:val="false"/>
                <w:bCs w:val="false"/>
                <w:sz w:val="20"/>
                <w:szCs w:val="20"/>
              </w:rPr>
              <w:t xml:space="preserve">fact_farmer_credit_summary</w:t>
            </w:r>
          </w:p>
        </w:tc>
        <w:tc>
          <w:tcPr>
            <w:tcW w:type="pct" w:w="53%"/>
            <w:vAlign w:val="center"/>
          </w:tcPr>
          <w:p>
            <w:r>
              <w:rPr>
                <w:b w:val="false"/>
                <w:bCs w:val="false"/>
                <w:sz w:val="20"/>
                <w:szCs w:val="20"/>
              </w:rPr>
              <w:t xml:space="preserve">Scorecard (active loans) + farmer table sorted by supply volume.</w:t>
            </w:r>
          </w:p>
        </w:tc>
      </w:tr>
      <w:tr>
        <w:tc>
          <w:tcPr>
            <w:tcW w:type="pct" w:w="22%"/>
            <w:vAlign w:val="center"/>
          </w:tcPr>
          <w:p>
            <w:r>
              <w:rPr>
                <w:b w:val="false"/>
                <w:bCs w:val="false"/>
                <w:sz w:val="20"/>
                <w:szCs w:val="20"/>
              </w:rPr>
              <w:t xml:space="preserve">Scenario 3 - Funmi</w:t>
            </w:r>
          </w:p>
        </w:tc>
        <w:tc>
          <w:tcPr>
            <w:tcW w:type="pct" w:w="25%"/>
            <w:vAlign w:val="center"/>
          </w:tcPr>
          <w:p>
            <w:r>
              <w:rPr>
                <w:b w:val="false"/>
                <w:bCs w:val="false"/>
                <w:sz w:val="20"/>
                <w:szCs w:val="20"/>
              </w:rPr>
              <w:t xml:space="preserve">fact_warehouse_lease_status</w:t>
            </w:r>
          </w:p>
        </w:tc>
        <w:tc>
          <w:tcPr>
            <w:tcW w:type="pct" w:w="53%"/>
            <w:vAlign w:val="center"/>
          </w:tcPr>
          <w:p>
            <w:r>
              <w:rPr>
                <w:b w:val="false"/>
                <w:bCs w:val="false"/>
                <w:sz w:val="20"/>
                <w:szCs w:val="20"/>
              </w:rPr>
              <w:t xml:space="preserve">Scorecard (active leases) + table with conditional formatting flagging leases expiring within 30 days.</w:t>
            </w:r>
          </w:p>
        </w:tc>
      </w:tr>
      <w:tr>
        <w:tc>
          <w:tcPr>
            <w:tcW w:type="pct" w:w="22%"/>
            <w:vAlign w:val="center"/>
          </w:tcPr>
          <w:p>
            <w:r>
              <w:rPr>
                <w:b w:val="false"/>
                <w:bCs w:val="false"/>
                <w:sz w:val="20"/>
                <w:szCs w:val="20"/>
              </w:rPr>
              <w:t xml:space="preserve">Scenario 4 - Adaeze</w:t>
            </w:r>
          </w:p>
        </w:tc>
        <w:tc>
          <w:tcPr>
            <w:tcW w:type="pct" w:w="25%"/>
            <w:vAlign w:val="center"/>
          </w:tcPr>
          <w:p>
            <w:r>
              <w:rPr>
                <w:b w:val="false"/>
                <w:bCs w:val="false"/>
                <w:sz w:val="20"/>
                <w:szCs w:val="20"/>
              </w:rPr>
              <w:t xml:space="preserve">fact_daily_revenue_by_division</w:t>
            </w:r>
          </w:p>
        </w:tc>
        <w:tc>
          <w:tcPr>
            <w:tcW w:type="pct" w:w="53%"/>
            <w:vAlign w:val="center"/>
          </w:tcPr>
          <w:p>
            <w:r>
              <w:rPr>
                <w:b w:val="false"/>
                <w:bCs w:val="false"/>
                <w:sz w:val="20"/>
                <w:szCs w:val="20"/>
              </w:rPr>
              <w:t xml:space="preserve">Revenue scorecard + stacked time series by division, with an explicit text-box disclosure on the logistics revenue proxy methodology.</w:t>
            </w:r>
          </w:p>
        </w:tc>
      </w:tr>
      <w:tr>
        <w:tc>
          <w:tcPr>
            <w:tcW w:type="pct" w:w="22%"/>
            <w:vAlign w:val="center"/>
          </w:tcPr>
          <w:p>
            <w:r>
              <w:rPr>
                <w:b w:val="false"/>
                <w:bCs w:val="false"/>
                <w:sz w:val="20"/>
                <w:szCs w:val="20"/>
              </w:rPr>
              <w:t xml:space="preserve">Divisional Sales Overview (bonus)</w:t>
            </w:r>
          </w:p>
        </w:tc>
        <w:tc>
          <w:tcPr>
            <w:tcW w:type="pct" w:w="25%"/>
            <w:vAlign w:val="center"/>
          </w:tcPr>
          <w:p>
            <w:r>
              <w:rPr>
                <w:b w:val="false"/>
                <w:bCs w:val="false"/>
                <w:sz w:val="20"/>
                <w:szCs w:val="20"/>
              </w:rPr>
              <w:t xml:space="preserve">fact_retail_sales</w:t>
            </w:r>
          </w:p>
        </w:tc>
        <w:tc>
          <w:tcPr>
            <w:tcW w:type="pct" w:w="53%"/>
            <w:vAlign w:val="center"/>
          </w:tcPr>
          <w:p>
            <w:r>
              <w:rPr>
                <w:b w:val="false"/>
                <w:bCs w:val="false"/>
                <w:sz w:val="20"/>
                <w:szCs w:val="20"/>
              </w:rPr>
              <w:t xml:space="preserve">Bar chart by product category, pie chart by store format, interactive date range control.</w:t>
            </w:r>
          </w:p>
        </w:tc>
      </w:tr>
    </w:tbl>
    <w:p>
      <w:pPr>
        <w:spacing w:after="160"/>
      </w:pPr>
      <w:r>
        <w:rPr>
          <w:b/>
          <w:bCs/>
        </w:rPr>
        <w:t xml:space="preserve">Transparency note: </w:t>
      </w:r>
      <w:r>
        <w:t xml:space="preserve">the Scenario 4 dashboard carries a visible disclosure that the Concord Logistics revenue figure is a modelled proxy (shipment-leg count multiplied by a placeholder rate), not real freight billing data, since per-shipment billing detail sits outside this project's modelled scope. This is disclosed directly on the dashboard itself, not only in this report, consistent with the CEO's own request in the brief's front matter not to be shown figures without understanding their basis.</w:t>
      </w:r>
    </w:p>
    <w:p>
      <w:pPr>
        <w:pStyle w:val="Heading1"/>
        <w:spacing w:after="180" w:before="360"/>
      </w:pPr>
      <w:r>
        <w:t xml:space="preserve">11. Query Performance Review</w:t>
      </w:r>
    </w:p>
    <w:p>
      <w:pPr>
        <w:spacing w:after="160"/>
      </w:pPr>
      <w:r>
        <w:t xml:space="preserve">Full detail is provided as a standalone document (Query_Performance_Review.docx); the headline findings are summarised here for completeness of this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shd w:fill="2C2C2A" w:val="clear"/>
            <w:vAlign w:val="center"/>
          </w:tcPr>
          <w:p>
            <w:r>
              <w:rPr>
                <w:b/>
                <w:bCs/>
                <w:color w:val="FFFFFF"/>
                <w:sz w:val="20"/>
                <w:szCs w:val="20"/>
              </w:rPr>
              <w:t xml:space="preserve">Finding</w:t>
            </w:r>
          </w:p>
        </w:tc>
        <w:tc>
          <w:tcPr>
            <w:tcW w:type="pct" w:w="20%"/>
            <w:shd w:fill="2C2C2A" w:val="clear"/>
            <w:vAlign w:val="center"/>
          </w:tcPr>
          <w:p>
            <w:r>
              <w:rPr>
                <w:b/>
                <w:bCs/>
                <w:color w:val="FFFFFF"/>
                <w:sz w:val="20"/>
                <w:szCs w:val="20"/>
              </w:rPr>
              <w:t xml:space="preserve">Result</w:t>
            </w:r>
          </w:p>
        </w:tc>
        <w:tc>
          <w:tcPr>
            <w:tcW w:type="pct" w:w="45%"/>
            <w:shd w:fill="2C2C2A" w:val="clear"/>
            <w:vAlign w:val="center"/>
          </w:tcPr>
          <w:p>
            <w:r>
              <w:rPr>
                <w:b/>
                <w:bCs/>
                <w:color w:val="FFFFFF"/>
                <w:sz w:val="20"/>
                <w:szCs w:val="20"/>
              </w:rPr>
              <w:t xml:space="preserve">Action / significance</w:t>
            </w:r>
          </w:p>
        </w:tc>
      </w:tr>
      <w:tr>
        <w:tc>
          <w:tcPr>
            <w:tcW w:type="pct" w:w="35%"/>
            <w:vAlign w:val="center"/>
          </w:tcPr>
          <w:p>
            <w:r>
              <w:rPr>
                <w:b w:val="false"/>
                <w:bCs w:val="false"/>
                <w:sz w:val="20"/>
                <w:szCs w:val="20"/>
              </w:rPr>
              <w:t xml:space="preserve">Table statistics refresh (ANALYZE) after bulk load</w:t>
            </w:r>
          </w:p>
        </w:tc>
        <w:tc>
          <w:tcPr>
            <w:tcW w:type="pct" w:w="20%"/>
            <w:vAlign w:val="center"/>
          </w:tcPr>
          <w:p>
            <w:r>
              <w:rPr>
                <w:b w:val="false"/>
                <w:bCs w:val="false"/>
                <w:sz w:val="20"/>
                <w:szCs w:val="20"/>
              </w:rPr>
              <w:t xml:space="preserve">201 ms -&gt; 0.78 ms</w:t>
            </w:r>
          </w:p>
        </w:tc>
        <w:tc>
          <w:tcPr>
            <w:tcW w:type="pct" w:w="45%"/>
            <w:vAlign w:val="center"/>
          </w:tcPr>
          <w:p>
            <w:r>
              <w:rPr>
                <w:b w:val="false"/>
                <w:bCs w:val="false"/>
                <w:sz w:val="20"/>
                <w:szCs w:val="20"/>
              </w:rPr>
              <w:t xml:space="preserve">~250x improvement from a single command; now standard practice after any future load.</w:t>
            </w:r>
          </w:p>
        </w:tc>
      </w:tr>
      <w:tr>
        <w:tc>
          <w:tcPr>
            <w:tcW w:type="pct" w:w="35%"/>
            <w:vAlign w:val="center"/>
          </w:tcPr>
          <w:p>
            <w:r>
              <w:rPr>
                <w:b w:val="false"/>
                <w:bCs w:val="false"/>
                <w:sz w:val="20"/>
                <w:szCs w:val="20"/>
              </w:rPr>
              <w:t xml:space="preserve">Scenario 3 warehouse/lease query</w:t>
            </w:r>
          </w:p>
        </w:tc>
        <w:tc>
          <w:tcPr>
            <w:tcW w:type="pct" w:w="20%"/>
            <w:vAlign w:val="center"/>
          </w:tcPr>
          <w:p>
            <w:r>
              <w:rPr>
                <w:b w:val="false"/>
                <w:bCs w:val="false"/>
                <w:sz w:val="20"/>
                <w:szCs w:val="20"/>
              </w:rPr>
              <w:t xml:space="preserve">0.31 ms</w:t>
            </w:r>
          </w:p>
        </w:tc>
        <w:tc>
          <w:tcPr>
            <w:tcW w:type="pct" w:w="45%"/>
            <w:vAlign w:val="center"/>
          </w:tcPr>
          <w:p>
            <w:r>
              <w:rPr>
                <w:b w:val="false"/>
                <w:bCs w:val="false"/>
                <w:sz w:val="20"/>
                <w:szCs w:val="20"/>
              </w:rPr>
              <w:t xml:space="preserve">Already fast; no action needed.</w:t>
            </w:r>
          </w:p>
        </w:tc>
      </w:tr>
      <w:tr>
        <w:tc>
          <w:tcPr>
            <w:tcW w:type="pct" w:w="35%"/>
            <w:vAlign w:val="center"/>
          </w:tcPr>
          <w:p>
            <w:r>
              <w:rPr>
                <w:b w:val="false"/>
                <w:bCs w:val="false"/>
                <w:sz w:val="20"/>
                <w:szCs w:val="20"/>
              </w:rPr>
              <w:t xml:space="preserve">Full 262,165-row category revenue aggregate</w:t>
            </w:r>
          </w:p>
        </w:tc>
        <w:tc>
          <w:tcPr>
            <w:tcW w:type="pct" w:w="20%"/>
            <w:vAlign w:val="center"/>
          </w:tcPr>
          <w:p>
            <w:r>
              <w:rPr>
                <w:b w:val="false"/>
                <w:bCs w:val="false"/>
                <w:sz w:val="20"/>
                <w:szCs w:val="20"/>
              </w:rPr>
              <w:t xml:space="preserve">582 ms</w:t>
            </w:r>
          </w:p>
        </w:tc>
        <w:tc>
          <w:tcPr>
            <w:tcW w:type="pct" w:w="45%"/>
            <w:vAlign w:val="center"/>
          </w:tcPr>
          <w:p>
            <w:r>
              <w:rPr>
                <w:b w:val="false"/>
                <w:bCs w:val="false"/>
                <w:sz w:val="20"/>
                <w:szCs w:val="20"/>
              </w:rPr>
              <w:t xml:space="preserve">Confirms the value of the OLTP/OLAP split — this exact query now runs against BigQuery instead.</w:t>
            </w:r>
          </w:p>
        </w:tc>
      </w:tr>
    </w:tbl>
    <w:p>
      <w:pPr>
        <w:pStyle w:val="Heading1"/>
        <w:spacing w:after="180" w:before="360"/>
      </w:pPr>
      <w:r>
        <w:t xml:space="preserve">12. Final Deliverables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2C2C2A" w:val="clear"/>
            <w:vAlign w:val="center"/>
          </w:tcPr>
          <w:p>
            <w:r>
              <w:rPr>
                <w:b/>
                <w:bCs/>
                <w:color w:val="FFFFFF"/>
                <w:sz w:val="20"/>
                <w:szCs w:val="20"/>
              </w:rPr>
              <w:t xml:space="preserve">Phase</w:t>
            </w:r>
          </w:p>
        </w:tc>
        <w:tc>
          <w:tcPr>
            <w:tcW w:type="pct" w:w="55%"/>
            <w:shd w:fill="2C2C2A" w:val="clear"/>
            <w:vAlign w:val="center"/>
          </w:tcPr>
          <w:p>
            <w:r>
              <w:rPr>
                <w:b/>
                <w:bCs/>
                <w:color w:val="FFFFFF"/>
                <w:sz w:val="20"/>
                <w:szCs w:val="20"/>
              </w:rPr>
              <w:t xml:space="preserve">Deliverable</w:t>
            </w:r>
          </w:p>
        </w:tc>
        <w:tc>
          <w:tcPr>
            <w:tcW w:type="pct" w:w="35%"/>
            <w:shd w:fill="2C2C2A" w:val="clear"/>
            <w:vAlign w:val="center"/>
          </w:tcPr>
          <w:p>
            <w:r>
              <w:rPr>
                <w:b/>
                <w:bCs/>
                <w:color w:val="FFFFFF"/>
                <w:sz w:val="20"/>
                <w:szCs w:val="20"/>
              </w:rPr>
              <w:t xml:space="preserve">Status</w:t>
            </w:r>
          </w:p>
        </w:tc>
      </w:tr>
      <w:tr>
        <w:tc>
          <w:tcPr>
            <w:tcW w:type="pct" w:w="10%"/>
            <w:vAlign w:val="center"/>
          </w:tcPr>
          <w:p>
            <w:r>
              <w:rPr>
                <w:b w:val="false"/>
                <w:bCs w:val="false"/>
                <w:sz w:val="20"/>
                <w:szCs w:val="20"/>
              </w:rPr>
              <w:t xml:space="preserve">1</w:t>
            </w:r>
          </w:p>
        </w:tc>
        <w:tc>
          <w:tcPr>
            <w:tcW w:type="pct" w:w="55%"/>
            <w:vAlign w:val="center"/>
          </w:tcPr>
          <w:p>
            <w:r>
              <w:rPr>
                <w:b w:val="false"/>
                <w:bCs w:val="false"/>
                <w:sz w:val="20"/>
                <w:szCs w:val="20"/>
              </w:rPr>
              <w:t xml:space="preserve">Business process maps, Core Hub justification</w:t>
            </w:r>
          </w:p>
        </w:tc>
        <w:tc>
          <w:tcPr>
            <w:tcW w:type="pct" w:w="35%"/>
            <w:vAlign w:val="center"/>
          </w:tcPr>
          <w:p>
            <w:r>
              <w:rPr>
                <w:b w:val="false"/>
                <w:bCs w:val="false"/>
                <w:sz w:val="20"/>
                <w:szCs w:val="20"/>
              </w:rPr>
              <w:t xml:space="preserve">Complete</w:t>
            </w:r>
          </w:p>
        </w:tc>
      </w:tr>
      <w:tr>
        <w:tc>
          <w:tcPr>
            <w:tcW w:type="pct" w:w="10%"/>
            <w:vAlign w:val="center"/>
          </w:tcPr>
          <w:p>
            <w:r>
              <w:rPr>
                <w:b w:val="false"/>
                <w:bCs w:val="false"/>
                <w:sz w:val="20"/>
                <w:szCs w:val="20"/>
              </w:rPr>
              <w:t xml:space="preserve">2</w:t>
            </w:r>
          </w:p>
        </w:tc>
        <w:tc>
          <w:tcPr>
            <w:tcW w:type="pct" w:w="55%"/>
            <w:vAlign w:val="center"/>
          </w:tcPr>
          <w:p>
            <w:r>
              <w:rPr>
                <w:b w:val="false"/>
                <w:bCs w:val="false"/>
                <w:sz w:val="20"/>
                <w:szCs w:val="20"/>
              </w:rPr>
              <w:t xml:space="preserve">ERD, data dictionary, normalisation reasoning, RLS design</w:t>
            </w:r>
          </w:p>
        </w:tc>
        <w:tc>
          <w:tcPr>
            <w:tcW w:type="pct" w:w="35%"/>
            <w:vAlign w:val="center"/>
          </w:tcPr>
          <w:p>
            <w:r>
              <w:rPr>
                <w:b w:val="false"/>
                <w:bCs w:val="false"/>
                <w:sz w:val="20"/>
                <w:szCs w:val="20"/>
              </w:rPr>
              <w:t xml:space="preserve">Complete</w:t>
            </w:r>
          </w:p>
        </w:tc>
      </w:tr>
      <w:tr>
        <w:tc>
          <w:tcPr>
            <w:tcW w:type="pct" w:w="10%"/>
            <w:vAlign w:val="center"/>
          </w:tcPr>
          <w:p>
            <w:r>
              <w:rPr>
                <w:b w:val="false"/>
                <w:bCs w:val="false"/>
                <w:sz w:val="20"/>
                <w:szCs w:val="20"/>
              </w:rPr>
              <w:t xml:space="preserve">3</w:t>
            </w:r>
          </w:p>
        </w:tc>
        <w:tc>
          <w:tcPr>
            <w:tcW w:type="pct" w:w="55%"/>
            <w:vAlign w:val="center"/>
          </w:tcPr>
          <w:p>
            <w:r>
              <w:rPr>
                <w:b w:val="false"/>
                <w:bCs w:val="false"/>
                <w:sz w:val="20"/>
                <w:szCs w:val="20"/>
              </w:rPr>
              <w:t xml:space="preserve">Schema on Supabase, synthetic data, ELT pipeline</w:t>
            </w:r>
          </w:p>
        </w:tc>
        <w:tc>
          <w:tcPr>
            <w:tcW w:type="pct" w:w="35%"/>
            <w:vAlign w:val="center"/>
          </w:tcPr>
          <w:p>
            <w:r>
              <w:rPr>
                <w:b w:val="false"/>
                <w:bCs w:val="false"/>
                <w:sz w:val="20"/>
                <w:szCs w:val="20"/>
              </w:rPr>
              <w:t xml:space="preserve">Complete — all live and verified</w:t>
            </w:r>
          </w:p>
        </w:tc>
      </w:tr>
      <w:tr>
        <w:tc>
          <w:tcPr>
            <w:tcW w:type="pct" w:w="10%"/>
            <w:vAlign w:val="center"/>
          </w:tcPr>
          <w:p>
            <w:r>
              <w:rPr>
                <w:b w:val="false"/>
                <w:bCs w:val="false"/>
                <w:sz w:val="20"/>
                <w:szCs w:val="20"/>
              </w:rPr>
              <w:t xml:space="preserve">4</w:t>
            </w:r>
          </w:p>
        </w:tc>
        <w:tc>
          <w:tcPr>
            <w:tcW w:type="pct" w:w="55%"/>
            <w:vAlign w:val="center"/>
          </w:tcPr>
          <w:p>
            <w:r>
              <w:rPr>
                <w:b w:val="false"/>
                <w:bCs w:val="false"/>
                <w:sz w:val="20"/>
                <w:szCs w:val="20"/>
              </w:rPr>
              <w:t xml:space="preserve">Dashboards (all 4 scenarios), query performance review</w:t>
            </w:r>
          </w:p>
        </w:tc>
        <w:tc>
          <w:tcPr>
            <w:tcW w:type="pct" w:w="35%"/>
            <w:vAlign w:val="center"/>
          </w:tcPr>
          <w:p>
            <w:r>
              <w:rPr>
                <w:b w:val="false"/>
                <w:bCs w:val="false"/>
                <w:sz w:val="20"/>
                <w:szCs w:val="20"/>
              </w:rPr>
              <w:t xml:space="preserve">Complete — live in Looker Studio</w:t>
            </w:r>
          </w:p>
        </w:tc>
      </w:tr>
      <w:tr>
        <w:tc>
          <w:tcPr>
            <w:tcW w:type="pct" w:w="10%"/>
            <w:vAlign w:val="center"/>
          </w:tcPr>
          <w:p>
            <w:r>
              <w:rPr>
                <w:b w:val="false"/>
                <w:bCs w:val="false"/>
                <w:sz w:val="20"/>
                <w:szCs w:val="20"/>
              </w:rPr>
              <w:t xml:space="preserve">5</w:t>
            </w:r>
          </w:p>
        </w:tc>
        <w:tc>
          <w:tcPr>
            <w:tcW w:type="pct" w:w="55%"/>
            <w:vAlign w:val="center"/>
          </w:tcPr>
          <w:p>
            <w:r>
              <w:rPr>
                <w:b w:val="false"/>
                <w:bCs w:val="false"/>
                <w:sz w:val="20"/>
                <w:szCs w:val="20"/>
              </w:rPr>
              <w:t xml:space="preserve">Complete project report</w:t>
            </w:r>
          </w:p>
        </w:tc>
        <w:tc>
          <w:tcPr>
            <w:tcW w:type="pct" w:w="35%"/>
            <w:vAlign w:val="center"/>
          </w:tcPr>
          <w:p>
            <w:r>
              <w:rPr>
                <w:b w:val="false"/>
                <w:bCs w:val="false"/>
                <w:sz w:val="20"/>
                <w:szCs w:val="20"/>
              </w:rPr>
              <w:t xml:space="preserve">This document</w:t>
            </w:r>
          </w:p>
        </w:tc>
      </w:tr>
      <w:tr>
        <w:tc>
          <w:tcPr>
            <w:tcW w:type="pct" w:w="10%"/>
            <w:vAlign w:val="center"/>
          </w:tcPr>
          <w:p>
            <w:r>
              <w:rPr>
                <w:b w:val="false"/>
                <w:bCs w:val="false"/>
                <w:sz w:val="20"/>
                <w:szCs w:val="20"/>
              </w:rPr>
              <w:t xml:space="preserve">5</w:t>
            </w:r>
          </w:p>
        </w:tc>
        <w:tc>
          <w:tcPr>
            <w:tcW w:type="pct" w:w="55%"/>
            <w:vAlign w:val="center"/>
          </w:tcPr>
          <w:p>
            <w:r>
              <w:rPr>
                <w:b w:val="false"/>
                <w:bCs w:val="false"/>
                <w:sz w:val="20"/>
                <w:szCs w:val="20"/>
              </w:rPr>
              <w:t xml:space="preserve">Live client-facing presentation</w:t>
            </w:r>
          </w:p>
        </w:tc>
        <w:tc>
          <w:tcPr>
            <w:tcW w:type="pct" w:w="35%"/>
            <w:vAlign w:val="center"/>
          </w:tcPr>
          <w:p>
            <w:r>
              <w:rPr>
                <w:b w:val="false"/>
                <w:bCs w:val="false"/>
                <w:sz w:val="20"/>
                <w:szCs w:val="20"/>
              </w:rPr>
              <w:t xml:space="preserve">Content and structure ready to present directly from this report and the live dashboards</w:t>
            </w:r>
          </w:p>
        </w:tc>
      </w:tr>
    </w:tbl>
    <w:p>
      <w:pPr>
        <w:spacing w:after="160"/>
      </w:pPr>
      <w:r>
        <w:t xml:space="preserve">Every phase of the brief's own eight-week plan (Section 6.1) is now substantively complete. What remains is the live presentation itself — a delivery exercise, not a design or engineering one — for which this report and the working dashboards together provide the complete underlying material.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2026-08-14T03:29:29.307Z</dcterms:created>
  <dcterms:modified xsi:type="dcterms:W3CDTF">2026-08-14T03:29:29.309Z</dcterms:modified>
</cp:coreProperties>
</file>

<file path=docProps/custom.xml><?xml version="1.0" encoding="utf-8"?>
<Properties xmlns="http://schemas.openxmlformats.org/officeDocument/2006/custom-properties" xmlns:vt="http://schemas.openxmlformats.org/officeDocument/2006/docPropsVTypes"/>
</file>