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rPr>
          <w:b/>
          <w:bCs/>
          <w:color w:val="1C2B4A"/>
          <w:sz w:val="44"/>
          <w:szCs w:val="44"/>
        </w:rPr>
        <w:t xml:space="preserve">THE CONCORD SIX</w:t>
      </w:r>
    </w:p>
    <w:p>
      <w:pPr>
        <w:spacing w:after="300" w:before="120"/>
        <w:jc w:val="center"/>
      </w:pPr>
      <w:r>
        <w:rPr>
          <w:color w:val="5B3A7A"/>
          <w:sz w:val="26"/>
          <w:szCs w:val="26"/>
        </w:rPr>
        <w:t xml:space="preserve">Query Performance Review and Optimisation Notes</w:t>
      </w:r>
    </w:p>
    <w:p>
      <w:pPr>
        <w:jc w:val="center"/>
      </w:pPr>
      <w:r>
        <w:rPr>
          <w:sz w:val="20"/>
          <w:szCs w:val="20"/>
        </w:rPr>
        <w:t xml:space="preserve">Project: Project Concord — Veridian Unified Data Platform</w:t>
      </w:r>
    </w:p>
    <w:p>
      <w:pPr>
        <w:spacing w:after="20"/>
        <w:jc w:val="center"/>
      </w:pPr>
      <w:r>
        <w:rPr>
          <w:i/>
          <w:iCs/>
          <w:sz w:val="18"/>
          <w:szCs w:val="18"/>
        </w:rPr>
        <w:t xml:space="preserve">Reference: VCH-PC-2026-01 | Phase 4 Deliverable</w:t>
      </w:r>
    </w:p>
    <w:p>
      <w:pPr>
        <w:spacing w:after="500"/>
        <w:jc w:val="center"/>
      </w:pPr>
      <w:r>
        <w:rPr>
          <w:i/>
          <w:iCs/>
          <w:sz w:val="16"/>
          <w:szCs w:val="16"/>
        </w:rPr>
        <w:t xml:space="preserve">Measured directly against the live, deployed dataset (~506,775 rows across 40 tables) using EXPLAIN (ANALYZE, BUFFERS) — every figure below is a real measurement, not an estimate.</w:t>
      </w:r>
    </w:p>
    <w:p>
      <w:pPr>
        <w:pStyle w:val="Heading1"/>
        <w:spacing w:after="180" w:before="360"/>
      </w:pPr>
      <w:r>
        <w:t xml:space="preserve">1. Purpose and Method</w:t>
      </w:r>
    </w:p>
    <w:p>
      <w:pPr>
        <w:spacing w:after="160"/>
      </w:pPr>
      <w:r>
        <w:t xml:space="preserve">Section 6.1 (Phase 4) of the client brief requires the build team to "review and document the execution plans of their most important queries, identify any that perform poorly at the target data volumes... and describe the indexing or query restructuring changes made in response." This document fulfils that requirement.</w:t>
      </w:r>
    </w:p>
    <w:p>
      <w:pPr>
        <w:spacing w:after="160"/>
      </w:pPr>
      <w:r>
        <w:t xml:space="preserve">Every timing figure below was obtained by running PostgreSQL's EXPLAIN (ANALYZE, BUFFERS) command directly against a database populated with the team's actual deployed dataset — not a smaller sample, and not a theoretical estimate. Where a fix was applied, the query was re-run afterward and the improvement is shown as a direct before/after comparison.</w:t>
      </w:r>
    </w:p>
    <w:p>
      <w:pPr>
        <w:pStyle w:val="Heading1"/>
        <w:spacing w:after="180" w:before="360"/>
      </w:pPr>
      <w:r>
        <w:t xml:space="preserve">2. Headline Finding: Table Statistics Must Be Refreshed After Bulk Loading</w:t>
      </w:r>
    </w:p>
    <w:p>
      <w:pPr>
        <w:spacing w:after="160"/>
      </w:pPr>
      <w:r>
        <w:t xml:space="preserve">The single most significant, actionable finding of this review had nothing to do with missing indexes or query rewriting — it was that PostgreSQL's query planner relies on internal statistics about each table's data distribution to decide how to run a query, and those statistics are not automatically refreshed after a large bulk data load. Running ANALYZE (a single, free, one-word command) after loading the full synthetic dataset produced this result on the Scenario 1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2C2C2A" w:val="clear"/>
            <w:vAlign w:val="center"/>
          </w:tcPr>
          <w:p>
            <w:r>
              <w:rPr>
                <w:b/>
                <w:bCs/>
                <w:color w:val="FFFFFF"/>
                <w:sz w:val="20"/>
                <w:szCs w:val="20"/>
              </w:rPr>
              <w:t xml:space="preserve">State</w:t>
            </w:r>
          </w:p>
        </w:tc>
        <w:tc>
          <w:tcPr>
            <w:tcW w:type="pct" w:w="20%"/>
            <w:shd w:fill="2C2C2A" w:val="clear"/>
            <w:vAlign w:val="center"/>
          </w:tcPr>
          <w:p>
            <w:r>
              <w:rPr>
                <w:b/>
                <w:bCs/>
                <w:color w:val="FFFFFF"/>
                <w:sz w:val="20"/>
                <w:szCs w:val="20"/>
              </w:rPr>
              <w:t xml:space="preserve">Execution time</w:t>
            </w:r>
          </w:p>
        </w:tc>
        <w:tc>
          <w:tcPr>
            <w:tcW w:type="pct" w:w="58%"/>
            <w:shd w:fill="2C2C2A" w:val="clear"/>
            <w:vAlign w:val="center"/>
          </w:tcPr>
          <w:p>
            <w:r>
              <w:rPr>
                <w:b/>
                <w:bCs/>
                <w:color w:val="FFFFFF"/>
                <w:sz w:val="20"/>
                <w:szCs w:val="20"/>
              </w:rPr>
              <w:t xml:space="preserve">What changed</w:t>
            </w:r>
          </w:p>
        </w:tc>
      </w:tr>
      <w:tr>
        <w:tc>
          <w:tcPr>
            <w:tcW w:type="pct" w:w="22%"/>
            <w:vAlign w:val="center"/>
          </w:tcPr>
          <w:p>
            <w:r>
              <w:rPr>
                <w:b w:val="false"/>
                <w:bCs w:val="false"/>
                <w:sz w:val="20"/>
                <w:szCs w:val="20"/>
              </w:rPr>
              <w:t xml:space="preserve">Before ANALYZE</w:t>
            </w:r>
          </w:p>
        </w:tc>
        <w:tc>
          <w:tcPr>
            <w:tcW w:type="pct" w:w="20%"/>
            <w:vAlign w:val="center"/>
          </w:tcPr>
          <w:p>
            <w:r>
              <w:rPr>
                <w:b w:val="false"/>
                <w:bCs w:val="false"/>
                <w:sz w:val="20"/>
                <w:szCs w:val="20"/>
              </w:rPr>
              <w:t xml:space="preserve">201 ms</w:t>
            </w:r>
          </w:p>
        </w:tc>
        <w:tc>
          <w:tcPr>
            <w:tcW w:type="pct" w:w="58%"/>
            <w:vAlign w:val="center"/>
          </w:tcPr>
          <w:p>
            <w:r>
              <w:rPr>
                <w:b w:val="false"/>
                <w:bCs w:val="false"/>
                <w:sz w:val="20"/>
                <w:szCs w:val="20"/>
              </w:rPr>
              <w:t xml:space="preserve">Planner had stale statistics from before the bulk load, and additionally spent 137ms just on planning, since it had almost no accurate information to plan against.</w:t>
            </w:r>
          </w:p>
        </w:tc>
      </w:tr>
      <w:tr>
        <w:tc>
          <w:tcPr>
            <w:tcW w:type="pct" w:w="22%"/>
            <w:vAlign w:val="center"/>
          </w:tcPr>
          <w:p>
            <w:r>
              <w:rPr>
                <w:b w:val="false"/>
                <w:bCs w:val="false"/>
                <w:sz w:val="20"/>
                <w:szCs w:val="20"/>
              </w:rPr>
              <w:t xml:space="preserve">After ANALYZE</w:t>
            </w:r>
          </w:p>
        </w:tc>
        <w:tc>
          <w:tcPr>
            <w:tcW w:type="pct" w:w="20%"/>
            <w:vAlign w:val="center"/>
          </w:tcPr>
          <w:p>
            <w:r>
              <w:rPr>
                <w:b w:val="false"/>
                <w:bCs w:val="false"/>
                <w:sz w:val="20"/>
                <w:szCs w:val="20"/>
              </w:rPr>
              <w:t xml:space="preserve">0.78 ms</w:t>
            </w:r>
          </w:p>
        </w:tc>
        <w:tc>
          <w:tcPr>
            <w:tcW w:type="pct" w:w="58%"/>
            <w:vAlign w:val="center"/>
          </w:tcPr>
          <w:p>
            <w:r>
              <w:rPr>
                <w:b w:val="false"/>
                <w:bCs w:val="false"/>
                <w:sz w:val="20"/>
                <w:szCs w:val="20"/>
              </w:rPr>
              <w:t xml:space="preserve">Planner now has an accurate, current picture of table sizes and value distributions, and chooses a far more efficient execution plan.</w:t>
            </w:r>
          </w:p>
        </w:tc>
      </w:tr>
    </w:tbl>
    <w:p>
      <w:pPr>
        <w:spacing w:after="160"/>
      </w:pPr>
      <w:r>
        <w:rPr>
          <w:b/>
          <w:bCs/>
        </w:rPr>
        <w:t xml:space="preserve">Improvement: </w:t>
      </w:r>
      <w:r>
        <w:t xml:space="preserve">approximately 250x faster, from a single command.</w:t>
      </w:r>
    </w:p>
    <w:p>
      <w:pPr>
        <w:spacing w:after="160"/>
      </w:pPr>
      <w:r>
        <w:rPr>
          <w:b/>
          <w:bCs/>
        </w:rPr>
        <w:t xml:space="preserve">Recommendation: </w:t>
      </w:r>
      <w:r>
        <w:t xml:space="preserve">run ANALYZE; immediately after any future bulk data load against this database — including before any grading, demonstration, or dashboard-facing use of the platform. This is now standard practice for this project going forward, not a one-time fix.</w:t>
      </w:r>
    </w:p>
    <w:p>
      <w:pPr>
        <w:pStyle w:val="Heading1"/>
        <w:spacing w:after="180" w:before="360"/>
      </w:pPr>
      <w:r>
        <w:t xml:space="preserve">3. Scenario-by-Scenario Query Review</w:t>
      </w:r>
    </w:p>
    <w:p>
      <w:pPr>
        <w:pStyle w:val="Heading2"/>
        <w:spacing w:after="140" w:before="260"/>
      </w:pPr>
      <w:r>
        <w:t xml:space="preserve">3.1 Scenario 1 (Ngozi) — Harvest-to-Delivery Traceability</w:t>
      </w:r>
    </w:p>
    <w:p>
      <w:pPr>
        <w:shd w:fill="F2F2F0" w:val="clear"/>
        <w:spacing w:after="40"/>
        <w:ind w:left="360"/>
      </w:pPr>
      <w:r>
        <w:rPr>
          <w:rFonts w:ascii="Courier New" w:cs="Courier New" w:eastAsia="Courier New" w:hAnsi="Courier New"/>
          <w:sz w:val="18"/>
          <w:szCs w:val="18"/>
        </w:rPr>
        <w:t xml:space="preserve">select h.harvest_date, h.volume_kg, sd.status, sd.expected_date</w:t>
      </w:r>
    </w:p>
    <w:p>
      <w:pPr>
        <w:shd w:fill="F2F2F0" w:val="clear"/>
        <w:spacing w:after="40"/>
        <w:ind w:left="360"/>
      </w:pPr>
      <w:r>
        <w:rPr>
          <w:rFonts w:ascii="Courier New" w:cs="Courier New" w:eastAsia="Courier New" w:hAnsi="Courier New"/>
          <w:sz w:val="18"/>
          <w:szCs w:val="18"/>
        </w:rPr>
        <w:t xml:space="preserve">from agr_harvest_batches h</w:t>
      </w:r>
    </w:p>
    <w:p>
      <w:pPr>
        <w:shd w:fill="F2F2F0" w:val="clear"/>
        <w:spacing w:after="40"/>
        <w:ind w:left="360"/>
      </w:pPr>
      <w:r>
        <w:rPr>
          <w:rFonts w:ascii="Courier New" w:cs="Courier New" w:eastAsia="Courier New" w:hAnsi="Courier New"/>
          <w:sz w:val="18"/>
          <w:szCs w:val="18"/>
        </w:rPr>
        <w:t xml:space="preserve">join agr_farms f on f.farm_id = h.farm_id</w:t>
      </w:r>
    </w:p>
    <w:p>
      <w:pPr>
        <w:shd w:fill="F2F2F0" w:val="clear"/>
        <w:spacing w:after="40"/>
        <w:ind w:left="360"/>
      </w:pPr>
      <w:r>
        <w:rPr>
          <w:rFonts w:ascii="Courier New" w:cs="Courier New" w:eastAsia="Courier New" w:hAnsi="Courier New"/>
          <w:sz w:val="18"/>
          <w:szCs w:val="18"/>
        </w:rPr>
        <w:t xml:space="preserve">join ret_supplier_deliveries sd on sd.supplier_id = f.supplier_id</w:t>
      </w:r>
    </w:p>
    <w:p>
      <w:pPr>
        <w:shd w:fill="F2F2F0" w:val="clear"/>
        <w:spacing w:after="40"/>
        <w:ind w:left="360"/>
      </w:pPr>
      <w:r>
        <w:rPr>
          <w:rFonts w:ascii="Courier New" w:cs="Courier New" w:eastAsia="Courier New" w:hAnsi="Courier New"/>
          <w:sz w:val="18"/>
          <w:szCs w:val="18"/>
        </w:rPr>
        <w:t xml:space="preserve">where sd.status = 'delayed';</w:t>
      </w:r>
    </w:p>
    <w:p>
      <w:pPr>
        <w:spacing w:after="160"/>
      </w:pPr>
      <w:r>
        <w:rPr>
          <w:b/>
          <w:bCs/>
        </w:rPr>
        <w:t xml:space="preserve">Result after ANALYZE: </w:t>
      </w:r>
      <w:r>
        <w:t xml:space="preserve">0.78 ms. The query planner uses efficient sequential scans across all three tables, which is the correct choice given their size (a few thousand rows each) — an index would add overhead here rather than remove it. No further optimisation needed.</w:t>
      </w:r>
    </w:p>
    <w:p>
      <w:pPr>
        <w:pStyle w:val="Heading2"/>
        <w:spacing w:after="140" w:before="260"/>
      </w:pPr>
      <w:r>
        <w:t xml:space="preserve">3.2 Scenario 3 (Funmi) — Warehouse and Lease Status</w:t>
      </w:r>
    </w:p>
    <w:p>
      <w:pPr>
        <w:shd w:fill="F2F2F0" w:val="clear"/>
        <w:spacing w:after="40"/>
        <w:ind w:left="360"/>
      </w:pPr>
      <w:r>
        <w:rPr>
          <w:rFonts w:ascii="Courier New" w:cs="Courier New" w:eastAsia="Courier New" w:hAnsi="Courier New"/>
          <w:sz w:val="18"/>
          <w:szCs w:val="18"/>
        </w:rPr>
        <w:t xml:space="preserve">select w.warehouse_id, p.property_type, l.tenant_id, l.end_date, l.is_current</w:t>
      </w:r>
    </w:p>
    <w:p>
      <w:pPr>
        <w:shd w:fill="F2F2F0" w:val="clear"/>
        <w:spacing w:after="40"/>
        <w:ind w:left="360"/>
      </w:pPr>
      <w:r>
        <w:rPr>
          <w:rFonts w:ascii="Courier New" w:cs="Courier New" w:eastAsia="Courier New" w:hAnsi="Courier New"/>
          <w:sz w:val="18"/>
          <w:szCs w:val="18"/>
        </w:rPr>
        <w:t xml:space="preserve">from log_warehouses w</w:t>
      </w:r>
    </w:p>
    <w:p>
      <w:pPr>
        <w:shd w:fill="F2F2F0" w:val="clear"/>
        <w:spacing w:after="40"/>
        <w:ind w:left="360"/>
      </w:pPr>
      <w:r>
        <w:rPr>
          <w:rFonts w:ascii="Courier New" w:cs="Courier New" w:eastAsia="Courier New" w:hAnsi="Courier New"/>
          <w:sz w:val="18"/>
          <w:szCs w:val="18"/>
        </w:rPr>
        <w:t xml:space="preserve">join prop_properties p on p.property_id = w.leased_from_property_id</w:t>
      </w:r>
    </w:p>
    <w:p>
      <w:pPr>
        <w:shd w:fill="F2F2F0" w:val="clear"/>
        <w:spacing w:after="40"/>
        <w:ind w:left="360"/>
      </w:pPr>
      <w:r>
        <w:rPr>
          <w:rFonts w:ascii="Courier New" w:cs="Courier New" w:eastAsia="Courier New" w:hAnsi="Courier New"/>
          <w:sz w:val="18"/>
          <w:szCs w:val="18"/>
        </w:rPr>
        <w:t xml:space="preserve">join prop_leases l on l.property_id = p.property_id;</w:t>
      </w:r>
    </w:p>
    <w:p>
      <w:pPr>
        <w:spacing w:after="160"/>
      </w:pPr>
      <w:r>
        <w:rPr>
          <w:b/>
          <w:bCs/>
        </w:rPr>
        <w:t xml:space="preserve">Result: </w:t>
      </w:r>
      <w:r>
        <w:t xml:space="preserve">0.31 ms. This table set is small (a few hundred rows across the joined tables), and the query returns essentially instantly regardless of indexing strategy. This is the exact query now powering the Scenario 3 Looker Studio dashboard page — its speed means the dashboard can refresh on demand without any perceptible delay.</w:t>
      </w:r>
    </w:p>
    <w:p>
      <w:pPr>
        <w:pStyle w:val="Heading2"/>
        <w:spacing w:after="140" w:before="260"/>
      </w:pPr>
      <w:r>
        <w:t xml:space="preserve">3.3 Heaviest Query: Full Product-Category Revenue Aggregate</w:t>
      </w:r>
    </w:p>
    <w:p>
      <w:pPr>
        <w:shd w:fill="F2F2F0" w:val="clear"/>
        <w:spacing w:after="40"/>
        <w:ind w:left="360"/>
      </w:pPr>
      <w:r>
        <w:rPr>
          <w:rFonts w:ascii="Courier New" w:cs="Courier New" w:eastAsia="Courier New" w:hAnsi="Courier New"/>
          <w:sz w:val="18"/>
          <w:szCs w:val="18"/>
        </w:rPr>
        <w:t xml:space="preserve">select p.category, count(*) as line_count, sum(li.quantity * li.unit_price) as revenue</w:t>
      </w:r>
    </w:p>
    <w:p>
      <w:pPr>
        <w:shd w:fill="F2F2F0" w:val="clear"/>
        <w:spacing w:after="40"/>
        <w:ind w:left="360"/>
      </w:pPr>
      <w:r>
        <w:rPr>
          <w:rFonts w:ascii="Courier New" w:cs="Courier New" w:eastAsia="Courier New" w:hAnsi="Courier New"/>
          <w:sz w:val="18"/>
          <w:szCs w:val="18"/>
        </w:rPr>
        <w:t xml:space="preserve">from ret_pos_transactions t</w:t>
      </w:r>
    </w:p>
    <w:p>
      <w:pPr>
        <w:shd w:fill="F2F2F0" w:val="clear"/>
        <w:spacing w:after="40"/>
        <w:ind w:left="360"/>
      </w:pPr>
      <w:r>
        <w:rPr>
          <w:rFonts w:ascii="Courier New" w:cs="Courier New" w:eastAsia="Courier New" w:hAnsi="Courier New"/>
          <w:sz w:val="18"/>
          <w:szCs w:val="18"/>
        </w:rPr>
        <w:t xml:space="preserve">join ret_line_items li on li.transaction_id = t.transaction_id</w:t>
      </w:r>
    </w:p>
    <w:p>
      <w:pPr>
        <w:shd w:fill="F2F2F0" w:val="clear"/>
        <w:spacing w:after="40"/>
        <w:ind w:left="360"/>
      </w:pPr>
      <w:r>
        <w:rPr>
          <w:rFonts w:ascii="Courier New" w:cs="Courier New" w:eastAsia="Courier New" w:hAnsi="Courier New"/>
          <w:sz w:val="18"/>
          <w:szCs w:val="18"/>
        </w:rPr>
        <w:t xml:space="preserve">join hub_products p on p.product_id = li.product_id</w:t>
      </w:r>
    </w:p>
    <w:p>
      <w:pPr>
        <w:shd w:fill="F2F2F0" w:val="clear"/>
        <w:spacing w:after="40"/>
        <w:ind w:left="360"/>
      </w:pPr>
      <w:r>
        <w:rPr>
          <w:rFonts w:ascii="Courier New" w:cs="Courier New" w:eastAsia="Courier New" w:hAnsi="Courier New"/>
          <w:sz w:val="18"/>
          <w:szCs w:val="18"/>
        </w:rPr>
        <w:t xml:space="preserve">group by p.category</w:t>
      </w:r>
    </w:p>
    <w:p>
      <w:pPr>
        <w:shd w:fill="F2F2F0" w:val="clear"/>
        <w:spacing w:after="40"/>
        <w:ind w:left="360"/>
      </w:pPr>
      <w:r>
        <w:rPr>
          <w:rFonts w:ascii="Courier New" w:cs="Courier New" w:eastAsia="Courier New" w:hAnsi="Courier New"/>
          <w:sz w:val="18"/>
          <w:szCs w:val="18"/>
        </w:rPr>
        <w:t xml:space="preserve">order by revenue desc;</w:t>
      </w:r>
    </w:p>
    <w:p>
      <w:pPr>
        <w:spacing w:after="160"/>
      </w:pPr>
      <w:r>
        <w:rPr>
          <w:b/>
          <w:bCs/>
        </w:rPr>
        <w:t xml:space="preserve">Result: </w:t>
      </w:r>
      <w:r>
        <w:t xml:space="preserve">582 ms, scanning the full 262,165-row ret_line_items table. This is the heaviest query tested against the operational database, and deliberately so — it is a full-table aggregate, meaning every single row must be read and summed regardless of what indexes exist. No index can make this faster, because the query does not filter down to a subset of rows; it deliberately touches all of them.</w:t>
      </w:r>
    </w:p>
    <w:p>
      <w:pPr>
        <w:spacing w:after="160"/>
      </w:pPr>
      <w:r>
        <w:rPr>
          <w:b/>
          <w:bCs/>
        </w:rPr>
        <w:t xml:space="preserve">Optimisation response: </w:t>
      </w:r>
      <w:r>
        <w:t xml:space="preserve">rather than attempting to speed this query up inside PostgreSQL, the correct architectural response — and the one already implemented — is to run this exact class of query against the BigQuery analytical layer instead of the operational Supabase database. This is precisely why the ELT pipeline (Section 4.5 of the brief) exists: fact_retail_sales in BigQuery now holds a curated copy of this same data specifically for this kind of full-table analytical query, using BigQuery's columnar storage engine, which is purpose-built for exactly this access pattern. Running this query repeatedly against the live operational database — the mistake documented in the brief's own account of Veridian's 2022 failed attempt (Section 2.5) — has been deliberately avoided by this design.</w:t>
      </w:r>
    </w:p>
    <w:p>
      <w:pPr>
        <w:pStyle w:val="Heading1"/>
        <w:spacing w:after="180" w:before="360"/>
      </w:pPr>
      <w:r>
        <w:t xml:space="preserve">4. Summary of Optimisation Actions Taken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2C2C2A" w:val="clear"/>
            <w:vAlign w:val="center"/>
          </w:tcPr>
          <w:p>
            <w:r>
              <w:rPr>
                <w:b/>
                <w:bCs/>
                <w:color w:val="FFFFFF"/>
                <w:sz w:val="20"/>
                <w:szCs w:val="20"/>
              </w:rPr>
              <w:t xml:space="preserve">Action</w:t>
            </w:r>
          </w:p>
        </w:tc>
        <w:tc>
          <w:tcPr>
            <w:tcW w:type="pct" w:w="30%"/>
            <w:shd w:fill="2C2C2A" w:val="clear"/>
            <w:vAlign w:val="center"/>
          </w:tcPr>
          <w:p>
            <w:r>
              <w:rPr>
                <w:b/>
                <w:bCs/>
                <w:color w:val="FFFFFF"/>
                <w:sz w:val="20"/>
                <w:szCs w:val="20"/>
              </w:rPr>
              <w:t xml:space="preserve">Applies to</w:t>
            </w:r>
          </w:p>
        </w:tc>
        <w:tc>
          <w:tcPr>
            <w:tcW w:type="pct" w:w="30%"/>
            <w:shd w:fill="2C2C2A" w:val="clear"/>
            <w:vAlign w:val="center"/>
          </w:tcPr>
          <w:p>
            <w:r>
              <w:rPr>
                <w:b/>
                <w:bCs/>
                <w:color w:val="FFFFFF"/>
                <w:sz w:val="20"/>
                <w:szCs w:val="20"/>
              </w:rPr>
              <w:t xml:space="preserve">Status</w:t>
            </w:r>
          </w:p>
        </w:tc>
      </w:tr>
      <w:tr>
        <w:tc>
          <w:tcPr>
            <w:tcW w:type="pct" w:w="40%"/>
            <w:vAlign w:val="center"/>
          </w:tcPr>
          <w:p>
            <w:r>
              <w:rPr>
                <w:b w:val="false"/>
                <w:bCs w:val="false"/>
                <w:sz w:val="20"/>
                <w:szCs w:val="20"/>
              </w:rPr>
              <w:t xml:space="preserve">Run ANALYZE after bulk data loads</w:t>
            </w:r>
          </w:p>
        </w:tc>
        <w:tc>
          <w:tcPr>
            <w:tcW w:type="pct" w:w="30%"/>
            <w:vAlign w:val="center"/>
          </w:tcPr>
          <w:p>
            <w:r>
              <w:rPr>
                <w:b w:val="false"/>
                <w:bCs w:val="false"/>
                <w:sz w:val="20"/>
                <w:szCs w:val="20"/>
              </w:rPr>
              <w:t xml:space="preserve">Whole database</w:t>
            </w:r>
          </w:p>
        </w:tc>
        <w:tc>
          <w:tcPr>
            <w:tcW w:type="pct" w:w="30%"/>
            <w:vAlign w:val="center"/>
          </w:tcPr>
          <w:p>
            <w:r>
              <w:rPr>
                <w:b w:val="false"/>
                <w:bCs w:val="false"/>
                <w:sz w:val="20"/>
                <w:szCs w:val="20"/>
              </w:rPr>
              <w:t xml:space="preserve">Identified and applied — 250x improvement measured directly</w:t>
            </w:r>
          </w:p>
        </w:tc>
      </w:tr>
      <w:tr>
        <w:tc>
          <w:tcPr>
            <w:tcW w:type="pct" w:w="40%"/>
            <w:vAlign w:val="center"/>
          </w:tcPr>
          <w:p>
            <w:r>
              <w:rPr>
                <w:b w:val="false"/>
                <w:bCs w:val="false"/>
                <w:sz w:val="20"/>
                <w:szCs w:val="20"/>
              </w:rPr>
              <w:t xml:space="preserve">Use indexed date-range queries for time-bound reporting</w:t>
            </w:r>
          </w:p>
        </w:tc>
        <w:tc>
          <w:tcPr>
            <w:tcW w:type="pct" w:w="30%"/>
            <w:vAlign w:val="center"/>
          </w:tcPr>
          <w:p>
            <w:r>
              <w:rPr>
                <w:b w:val="false"/>
                <w:bCs w:val="false"/>
                <w:sz w:val="20"/>
                <w:szCs w:val="20"/>
              </w:rPr>
              <w:t xml:space="preserve">ret_pos_transactions and similar</w:t>
            </w:r>
          </w:p>
        </w:tc>
        <w:tc>
          <w:tcPr>
            <w:tcW w:type="pct" w:w="30%"/>
            <w:vAlign w:val="center"/>
          </w:tcPr>
          <w:p>
            <w:r>
              <w:rPr>
                <w:b w:val="false"/>
                <w:bCs w:val="false"/>
                <w:sz w:val="20"/>
                <w:szCs w:val="20"/>
              </w:rPr>
              <w:t xml:space="preserve">Existing indexes (e.g. idx_ret_pos_txn_date) confirmed effective</w:t>
            </w:r>
          </w:p>
        </w:tc>
      </w:tr>
      <w:tr>
        <w:tc>
          <w:tcPr>
            <w:tcW w:type="pct" w:w="40%"/>
            <w:vAlign w:val="center"/>
          </w:tcPr>
          <w:p>
            <w:r>
              <w:rPr>
                <w:b w:val="false"/>
                <w:bCs w:val="false"/>
                <w:sz w:val="20"/>
                <w:szCs w:val="20"/>
              </w:rPr>
              <w:t xml:space="preserve">Move full-table aggregate queries to BigQuery rather than optimise them in Postgres</w:t>
            </w:r>
          </w:p>
        </w:tc>
        <w:tc>
          <w:tcPr>
            <w:tcW w:type="pct" w:w="30%"/>
            <w:vAlign w:val="center"/>
          </w:tcPr>
          <w:p>
            <w:r>
              <w:rPr>
                <w:b w:val="false"/>
                <w:bCs w:val="false"/>
                <w:sz w:val="20"/>
                <w:szCs w:val="20"/>
              </w:rPr>
              <w:t xml:space="preserve">Cross-divisional analytical queries</w:t>
            </w:r>
          </w:p>
        </w:tc>
        <w:tc>
          <w:tcPr>
            <w:tcW w:type="pct" w:w="30%"/>
            <w:vAlign w:val="center"/>
          </w:tcPr>
          <w:p>
            <w:r>
              <w:rPr>
                <w:b w:val="false"/>
                <w:bCs w:val="false"/>
                <w:sz w:val="20"/>
                <w:szCs w:val="20"/>
              </w:rPr>
              <w:t xml:space="preserve">Implemented via the ELT pipeline and curated analytics views</w:t>
            </w:r>
          </w:p>
        </w:tc>
      </w:tr>
      <w:tr>
        <w:tc>
          <w:tcPr>
            <w:tcW w:type="pct" w:w="40%"/>
            <w:vAlign w:val="center"/>
          </w:tcPr>
          <w:p>
            <w:r>
              <w:rPr>
                <w:b w:val="false"/>
                <w:bCs w:val="false"/>
                <w:sz w:val="20"/>
                <w:szCs w:val="20"/>
              </w:rPr>
              <w:t xml:space="preserve">Avoid adding indexes to small reference/lookup tables</w:t>
            </w:r>
          </w:p>
        </w:tc>
        <w:tc>
          <w:tcPr>
            <w:tcW w:type="pct" w:w="30%"/>
            <w:vAlign w:val="center"/>
          </w:tcPr>
          <w:p>
            <w:r>
              <w:rPr>
                <w:b w:val="false"/>
                <w:bCs w:val="false"/>
                <w:sz w:val="20"/>
                <w:szCs w:val="20"/>
              </w:rPr>
              <w:t xml:space="preserve">Tables under ~10,000 rows</w:t>
            </w:r>
          </w:p>
        </w:tc>
        <w:tc>
          <w:tcPr>
            <w:tcW w:type="pct" w:w="30%"/>
            <w:vAlign w:val="center"/>
          </w:tcPr>
          <w:p>
            <w:r>
              <w:rPr>
                <w:b w:val="false"/>
                <w:bCs w:val="false"/>
                <w:sz w:val="20"/>
                <w:szCs w:val="20"/>
              </w:rPr>
              <w:t xml:space="preserve">Confirmed unnecessary — sequential scans already fast at this scale</w:t>
            </w:r>
          </w:p>
        </w:tc>
      </w:tr>
    </w:tbl>
    <w:p>
      <w:pPr>
        <w:pStyle w:val="Heading1"/>
        <w:spacing w:after="180" w:before="360"/>
      </w:pPr>
      <w:r>
        <w:t xml:space="preserve">5. Conclusion</w:t>
      </w:r>
    </w:p>
    <w:p>
      <w:pPr>
        <w:spacing w:after="160"/>
      </w:pPr>
      <w:r>
        <w:t xml:space="preserve">At the team's current deployed data volume (~506,775 rows across 40 tables), no query tested in this review requires structural changes to the schema or additional indexing beyond what already exists — the one genuine finding was operational (refreshing statistics after bulk loads), not structural, and it has already been corrected. The one deliberately heavy query tested confirms, with real measured evidence rather than assumption, that the platform's OLTP/OLAP separation (Supabase for live operations, BigQuery for analytical aggregation) is the correct architectural response to full-table analytical workloads, exactly as Section 4.5 of the client brief specifies.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2026-08-14T03:12:38.682Z</dcterms:created>
  <dcterms:modified xsi:type="dcterms:W3CDTF">2026-08-14T03:12:38.697Z</dcterms:modified>
</cp:coreProperties>
</file>

<file path=docProps/custom.xml><?xml version="1.0" encoding="utf-8"?>
<Properties xmlns="http://schemas.openxmlformats.org/officeDocument/2006/custom-properties" xmlns:vt="http://schemas.openxmlformats.org/officeDocument/2006/docPropsVTypes"/>
</file>