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1C2B4A"/>
          <w:sz w:val="44"/>
          <w:szCs w:val="44"/>
        </w:rPr>
        <w:t xml:space="preserve">PROJECT CONCORD</w:t>
      </w:r>
    </w:p>
    <w:p>
      <w:pPr>
        <w:spacing w:after="300" w:before="120"/>
        <w:jc w:val="center"/>
      </w:pPr>
      <w:r>
        <w:rPr>
          <w:color w:val="5B3A7A"/>
          <w:sz w:val="26"/>
          <w:szCs w:val="26"/>
        </w:rPr>
        <w:t xml:space="preserve">Scenario Resolution Report</w:t>
      </w:r>
    </w:p>
    <w:p>
      <w:pPr>
        <w:jc w:val="center"/>
      </w:pPr>
      <w:r>
        <w:rPr>
          <w:i/>
          <w:iCs/>
          <w:sz w:val="18"/>
          <w:szCs w:val="18"/>
        </w:rPr>
        <w:t xml:space="preserve">Problem -&gt; Division -&gt; Database Mechanism -&gt; KPI Visual, for all 4 required scenarios</w:t>
      </w:r>
    </w:p>
    <w:p>
      <w:pPr>
        <w:spacing w:after="400"/>
        <w:jc w:val="center"/>
      </w:pPr>
      <w:r>
        <w:rPr>
          <w:sz w:val="18"/>
          <w:szCs w:val="18"/>
        </w:rPr>
        <w:t xml:space="preserve">Prepared by: The Concord Six</w:t>
      </w:r>
    </w:p>
    <w:p>
      <w:r>
        <w:br w:type="page"/>
      </w:r>
    </w:p>
    <w:p>
      <w:pPr>
        <w:pStyle w:val="Heading1"/>
        <w:spacing w:after="180" w:before="360"/>
      </w:pPr>
      <w:r>
        <w:t xml:space="preserve">Purpose of This Document</w:t>
      </w:r>
    </w:p>
    <w:p>
      <w:pPr>
        <w:spacing w:after="160"/>
      </w:pPr>
      <w:r>
        <w:t xml:space="preserve">The client brief (Section 3.1) sets a specific, non-negotiable test for success: the platform must demonstrably answer four real situations, each tied to a named person and a named division. A technically excellent schema that cannot be connected back to these four people has not, in the brief's own words, demonstrated that it solves the problem it was built for.</w:t>
      </w:r>
    </w:p>
    <w:p>
      <w:pPr>
        <w:spacing w:after="160"/>
      </w:pPr>
      <w:r>
        <w:t xml:space="preserve">This document exists to make that connection explicit and traceable, scenario by scenario, in four parts each time: who the person is and which division(s) are involved; exactly what the underlying business problem is; exactly which tables, joins, and constraints in the live database resolve it; and exactly which Power BI KPI visual makes that resolution visible and actionable to the person who needs it.</w:t>
      </w:r>
    </w:p>
    <w:p>
      <w:pPr>
        <w:pStyle w:val="Heading1"/>
        <w:spacing w:after="180" w:before="360"/>
      </w:pPr>
      <w:r>
        <w:t xml:space="preserve">Overview: Divisions Involved Per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2C2C2A" w:val="clear"/>
            <w:vAlign w:val="center"/>
          </w:tcPr>
          <w:p>
            <w:r>
              <w:rPr>
                <w:b/>
                <w:bCs/>
                <w:color w:val="FFFFFF"/>
                <w:sz w:val="20"/>
                <w:szCs w:val="20"/>
              </w:rPr>
              <w:t xml:space="preserve">Scenario</w:t>
            </w:r>
          </w:p>
        </w:tc>
        <w:tc>
          <w:tcPr>
            <w:tcW w:type="pct" w:w="16%"/>
            <w:shd w:fill="2C2C2A" w:val="clear"/>
            <w:vAlign w:val="center"/>
          </w:tcPr>
          <w:p>
            <w:r>
              <w:rPr>
                <w:b/>
                <w:bCs/>
                <w:color w:val="FFFFFF"/>
                <w:sz w:val="20"/>
                <w:szCs w:val="20"/>
              </w:rPr>
              <w:t xml:space="preserve">Person</w:t>
            </w:r>
          </w:p>
        </w:tc>
        <w:tc>
          <w:tcPr>
            <w:tcW w:type="pct" w:w="32%"/>
            <w:shd w:fill="2C2C2A" w:val="clear"/>
            <w:vAlign w:val="center"/>
          </w:tcPr>
          <w:p>
            <w:r>
              <w:rPr>
                <w:b/>
                <w:bCs/>
                <w:color w:val="FFFFFF"/>
                <w:sz w:val="20"/>
                <w:szCs w:val="20"/>
              </w:rPr>
              <w:t xml:space="preserve">Primary division</w:t>
            </w:r>
          </w:p>
        </w:tc>
        <w:tc>
          <w:tcPr>
            <w:tcW w:type="pct" w:w="40%"/>
            <w:shd w:fill="2C2C2A" w:val="clear"/>
            <w:vAlign w:val="center"/>
          </w:tcPr>
          <w:p>
            <w:r>
              <w:rPr>
                <w:b/>
                <w:bCs/>
                <w:color w:val="FFFFFF"/>
                <w:sz w:val="20"/>
                <w:szCs w:val="20"/>
              </w:rPr>
              <w:t xml:space="preserve">Secondary division(s) involved</w:t>
            </w:r>
          </w:p>
        </w:tc>
      </w:tr>
      <w:tr>
        <w:tc>
          <w:tcPr>
            <w:tcW w:type="pct" w:w="12%"/>
            <w:vAlign w:val="center"/>
          </w:tcPr>
          <w:p>
            <w:r>
              <w:rPr>
                <w:b w:val="false"/>
                <w:bCs w:val="false"/>
                <w:sz w:val="20"/>
                <w:szCs w:val="20"/>
              </w:rPr>
              <w:t xml:space="preserve">1</w:t>
            </w:r>
          </w:p>
        </w:tc>
        <w:tc>
          <w:tcPr>
            <w:tcW w:type="pct" w:w="16%"/>
            <w:vAlign w:val="center"/>
          </w:tcPr>
          <w:p>
            <w:r>
              <w:rPr>
                <w:b w:val="false"/>
                <w:bCs w:val="false"/>
                <w:sz w:val="20"/>
                <w:szCs w:val="20"/>
              </w:rPr>
              <w:t xml:space="preserve">Ngozi</w:t>
            </w:r>
          </w:p>
        </w:tc>
        <w:tc>
          <w:tcPr>
            <w:tcW w:type="pct" w:w="32%"/>
            <w:vAlign w:val="center"/>
          </w:tcPr>
          <w:p>
            <w:r>
              <w:rPr>
                <w:b w:val="false"/>
                <w:bCs w:val="false"/>
                <w:sz w:val="20"/>
                <w:szCs w:val="20"/>
              </w:rPr>
              <w:t xml:space="preserve">Meridian Retail (primary)</w:t>
            </w:r>
          </w:p>
        </w:tc>
        <w:tc>
          <w:tcPr>
            <w:tcW w:type="pct" w:w="40%"/>
            <w:vAlign w:val="center"/>
          </w:tcPr>
          <w:p>
            <w:r>
              <w:rPr>
                <w:b w:val="false"/>
                <w:bCs w:val="false"/>
                <w:sz w:val="20"/>
                <w:szCs w:val="20"/>
              </w:rPr>
              <w:t xml:space="preserve">AgriCore (source of the problem)</w:t>
            </w:r>
          </w:p>
        </w:tc>
      </w:tr>
      <w:tr>
        <w:tc>
          <w:tcPr>
            <w:tcW w:type="pct" w:w="12%"/>
            <w:vAlign w:val="center"/>
          </w:tcPr>
          <w:p>
            <w:r>
              <w:rPr>
                <w:b w:val="false"/>
                <w:bCs w:val="false"/>
                <w:sz w:val="20"/>
                <w:szCs w:val="20"/>
              </w:rPr>
              <w:t xml:space="preserve">2</w:t>
            </w:r>
          </w:p>
        </w:tc>
        <w:tc>
          <w:tcPr>
            <w:tcW w:type="pct" w:w="16%"/>
            <w:vAlign w:val="center"/>
          </w:tcPr>
          <w:p>
            <w:r>
              <w:rPr>
                <w:b w:val="false"/>
                <w:bCs w:val="false"/>
                <w:sz w:val="20"/>
                <w:szCs w:val="20"/>
              </w:rPr>
              <w:t xml:space="preserve">Chinedu</w:t>
            </w:r>
          </w:p>
        </w:tc>
        <w:tc>
          <w:tcPr>
            <w:tcW w:type="pct" w:w="32%"/>
            <w:vAlign w:val="center"/>
          </w:tcPr>
          <w:p>
            <w:r>
              <w:rPr>
                <w:b w:val="false"/>
                <w:bCs w:val="false"/>
                <w:sz w:val="20"/>
                <w:szCs w:val="20"/>
              </w:rPr>
              <w:t xml:space="preserve">Veridian Financial Services (primary)</w:t>
            </w:r>
          </w:p>
        </w:tc>
        <w:tc>
          <w:tcPr>
            <w:tcW w:type="pct" w:w="40%"/>
            <w:vAlign w:val="center"/>
          </w:tcPr>
          <w:p>
            <w:r>
              <w:rPr>
                <w:b w:val="false"/>
                <w:bCs w:val="false"/>
                <w:sz w:val="20"/>
                <w:szCs w:val="20"/>
              </w:rPr>
              <w:t xml:space="preserve">AgriCore (source of the missing signal)</w:t>
            </w:r>
          </w:p>
        </w:tc>
      </w:tr>
      <w:tr>
        <w:tc>
          <w:tcPr>
            <w:tcW w:type="pct" w:w="12%"/>
            <w:vAlign w:val="center"/>
          </w:tcPr>
          <w:p>
            <w:r>
              <w:rPr>
                <w:b w:val="false"/>
                <w:bCs w:val="false"/>
                <w:sz w:val="20"/>
                <w:szCs w:val="20"/>
              </w:rPr>
              <w:t xml:space="preserve">3</w:t>
            </w:r>
          </w:p>
        </w:tc>
        <w:tc>
          <w:tcPr>
            <w:tcW w:type="pct" w:w="16%"/>
            <w:vAlign w:val="center"/>
          </w:tcPr>
          <w:p>
            <w:r>
              <w:rPr>
                <w:b w:val="false"/>
                <w:bCs w:val="false"/>
                <w:sz w:val="20"/>
                <w:szCs w:val="20"/>
              </w:rPr>
              <w:t xml:space="preserve">Funmi</w:t>
            </w:r>
          </w:p>
        </w:tc>
        <w:tc>
          <w:tcPr>
            <w:tcW w:type="pct" w:w="32%"/>
            <w:vAlign w:val="center"/>
          </w:tcPr>
          <w:p>
            <w:r>
              <w:rPr>
                <w:b w:val="false"/>
                <w:bCs w:val="false"/>
                <w:sz w:val="20"/>
                <w:szCs w:val="20"/>
              </w:rPr>
              <w:t xml:space="preserve">Concord Logistics (primary)</w:t>
            </w:r>
          </w:p>
        </w:tc>
        <w:tc>
          <w:tcPr>
            <w:tcW w:type="pct" w:w="40%"/>
            <w:vAlign w:val="center"/>
          </w:tcPr>
          <w:p>
            <w:r>
              <w:rPr>
                <w:b w:val="false"/>
                <w:bCs w:val="false"/>
                <w:sz w:val="20"/>
                <w:szCs w:val="20"/>
              </w:rPr>
              <w:t xml:space="preserve">Veridian Properties (source of the problem)</w:t>
            </w:r>
          </w:p>
        </w:tc>
      </w:tr>
      <w:tr>
        <w:tc>
          <w:tcPr>
            <w:tcW w:type="pct" w:w="12%"/>
            <w:vAlign w:val="center"/>
          </w:tcPr>
          <w:p>
            <w:r>
              <w:rPr>
                <w:b w:val="false"/>
                <w:bCs w:val="false"/>
                <w:sz w:val="20"/>
                <w:szCs w:val="20"/>
              </w:rPr>
              <w:t xml:space="preserve">4</w:t>
            </w:r>
          </w:p>
        </w:tc>
        <w:tc>
          <w:tcPr>
            <w:tcW w:type="pct" w:w="16%"/>
            <w:vAlign w:val="center"/>
          </w:tcPr>
          <w:p>
            <w:r>
              <w:rPr>
                <w:b w:val="false"/>
                <w:bCs w:val="false"/>
                <w:sz w:val="20"/>
                <w:szCs w:val="20"/>
              </w:rPr>
              <w:t xml:space="preserve">Adaeze</w:t>
            </w:r>
          </w:p>
        </w:tc>
        <w:tc>
          <w:tcPr>
            <w:tcW w:type="pct" w:w="32%"/>
            <w:vAlign w:val="center"/>
          </w:tcPr>
          <w:p>
            <w:r>
              <w:rPr>
                <w:b w:val="false"/>
                <w:bCs w:val="false"/>
                <w:sz w:val="20"/>
                <w:szCs w:val="20"/>
              </w:rPr>
              <w:t xml:space="preserve">Group Executive (all five divisions)</w:t>
            </w:r>
          </w:p>
        </w:tc>
        <w:tc>
          <w:tcPr>
            <w:tcW w:type="pct" w:w="40%"/>
            <w:vAlign w:val="center"/>
          </w:tcPr>
          <w:p>
            <w:r>
              <w:rPr>
                <w:b w:val="false"/>
                <w:bCs w:val="false"/>
                <w:sz w:val="20"/>
                <w:szCs w:val="20"/>
              </w:rPr>
              <w:t xml:space="preserve">Retail, Logistics, VFS, AgriCore, Properties</w:t>
            </w:r>
          </w:p>
        </w:tc>
      </w:tr>
    </w:tbl>
    <w:p>
      <w:pPr>
        <w:spacing w:after="160"/>
      </w:pPr>
      <w:r>
        <w:t xml:space="preserve">Every scenario except the fourth is fundamentally a two-division problem — one division holds information the other needs but cannot see. This is precisely the fragmentation Part II of the client brief describes, and it is precisely why the Core Services Hub (six shared entities: customers, employees, suppliers, locations, products, financial account references) exists at the centre of the schema — it is the structural mechanism that lets two divisions' tables reference the same real-world thing without either duplicating or losing track of it.</w:t>
      </w:r>
    </w:p>
    <w:p>
      <w:pPr>
        <w:pStyle w:val="Heading1"/>
        <w:spacing w:after="180" w:before="360"/>
      </w:pPr>
      <w:r>
        <w:t xml:space="preserve">Scenario 1 — Ngozi and the Missing Plantain</w:t>
      </w:r>
    </w:p>
    <w:p>
      <w:pPr>
        <w:pStyle w:val="Heading2"/>
        <w:spacing w:after="140" w:before="260"/>
      </w:pPr>
      <w:r>
        <w:t xml:space="preserve">1.1 Who, and Which Divisions</w:t>
      </w:r>
    </w:p>
    <w:p>
      <w:pPr>
        <w:spacing w:after="160"/>
      </w:pPr>
      <w:r>
        <w:rPr>
          <w:b/>
          <w:bCs/>
        </w:rPr>
        <w:t xml:space="preserve">Person: </w:t>
      </w:r>
      <w:r>
        <w:t xml:space="preserve">Ngozi, a Meridian Mart branch manager in Enugu.</w:t>
      </w:r>
    </w:p>
    <w:p>
      <w:pPr>
        <w:spacing w:after="160"/>
      </w:pPr>
      <w:r>
        <w:rPr>
          <w:b/>
          <w:bCs/>
        </w:rPr>
        <w:t xml:space="preserve">Primary division: </w:t>
      </w:r>
      <w:r>
        <w:t xml:space="preserve">Meridian Retail and Consumer.</w:t>
      </w:r>
    </w:p>
    <w:p>
      <w:pPr>
        <w:spacing w:after="160"/>
      </w:pPr>
      <w:r>
        <w:rPr>
          <w:b/>
          <w:bCs/>
        </w:rPr>
        <w:t xml:space="preserve">Secondary division involved: </w:t>
      </w:r>
      <w:r>
        <w:t xml:space="preserve">AgriCore — the division that actually holds the early-warning information Ngozi needs but currently cannot see.</w:t>
      </w:r>
    </w:p>
    <w:p>
      <w:pPr>
        <w:pStyle w:val="Heading2"/>
        <w:spacing w:after="140" w:before="260"/>
      </w:pPr>
      <w:r>
        <w:t xml:space="preserve">1.2 The Problem, In Detail</w:t>
      </w:r>
    </w:p>
    <w:p>
      <w:pPr>
        <w:spacing w:after="160"/>
      </w:pPr>
      <w:r>
        <w:t xml:space="preserve">Ngozi's plantain supply from AgriCore fails to arrive on a Tuesday morning. She has no way of knowing, at that moment, whether this is a one-day logistics delay or the beginning of a two-week shortfall caused by poor rainfall three states away. Critically, AgriCore's own field agents recorded the harvest shortfall in their system four days earlier — the information already existed, it was simply never connected to anything Ngozi could see. She improvises with a substitute promotion and loses an estimated eight percent of her expected produce revenue that week. This is not a data-availability problem; the data existed the whole time. It is a data-connection problem.</w:t>
      </w:r>
    </w:p>
    <w:p>
      <w:pPr>
        <w:pStyle w:val="Heading2"/>
        <w:spacing w:after="140" w:before="260"/>
      </w:pPr>
      <w:r>
        <w:t xml:space="preserve">1.3 How the Database Solves It</w:t>
      </w:r>
    </w:p>
    <w:p>
      <w:pPr>
        <w:spacing w:after="160"/>
      </w:pPr>
      <w:r>
        <w:t xml:space="preserve">The chain of tables that closes this exact gap:</w:t>
      </w:r>
    </w:p>
    <w:p>
      <w:pPr>
        <w:shd w:fill="F2F2F0" w:val="clear"/>
        <w:spacing w:after="40"/>
        <w:ind w:left="360"/>
      </w:pPr>
      <w:r>
        <w:rPr>
          <w:rFonts w:ascii="Courier New" w:cs="Courier New" w:eastAsia="Courier New" w:hAnsi="Courier New"/>
          <w:sz w:val="18"/>
          <w:szCs w:val="18"/>
        </w:rPr>
        <w:t xml:space="preserve">agr_harvest_batches  (the harvest a field agent recorded)</w:t>
      </w:r>
    </w:p>
    <w:p>
      <w:pPr>
        <w:shd w:fill="F2F2F0" w:val="clear"/>
        <w:spacing w:after="40"/>
        <w:ind w:left="360"/>
      </w:pPr>
      <w:r>
        <w:rPr>
          <w:rFonts w:ascii="Courier New" w:cs="Courier New" w:eastAsia="Courier New" w:hAnsi="Courier New"/>
          <w:sz w:val="18"/>
          <w:szCs w:val="18"/>
        </w:rPr>
        <w:t xml:space="preserve">  -&gt; agr_farms       (which farm, and via farm_id -&gt; hub_locations)</w:t>
      </w:r>
    </w:p>
    <w:p>
      <w:pPr>
        <w:shd w:fill="F2F2F0" w:val="clear"/>
        <w:spacing w:after="40"/>
        <w:ind w:left="360"/>
      </w:pPr>
      <w:r>
        <w:rPr>
          <w:rFonts w:ascii="Courier New" w:cs="Courier New" w:eastAsia="Courier New" w:hAnsi="Courier New"/>
          <w:sz w:val="18"/>
          <w:szCs w:val="18"/>
        </w:rPr>
        <w:t xml:space="preserve">  -&gt; hub_suppliers    (the farmer, as a shared identity)</w:t>
      </w:r>
    </w:p>
    <w:p>
      <w:pPr>
        <w:shd w:fill="F2F2F0" w:val="clear"/>
        <w:spacing w:after="40"/>
        <w:ind w:left="360"/>
      </w:pPr>
      <w:r>
        <w:rPr>
          <w:rFonts w:ascii="Courier New" w:cs="Courier New" w:eastAsia="Courier New" w:hAnsi="Courier New"/>
          <w:sz w:val="18"/>
          <w:szCs w:val="18"/>
        </w:rPr>
        <w:t xml:space="preserve">  -&gt; ret_supplier_deliveries  (the delivery that fails to arrive at Ngozi's store)</w:t>
      </w:r>
    </w:p>
    <w:p>
      <w:pPr>
        <w:spacing w:after="160"/>
      </w:pPr>
      <w:r>
        <w:t xml:space="preserve">These four tables are joined together in the curated view vw_elt_supply_signal, which explicitly flags a delivery as is_at_risk whenever its linked status is delayed or cancelled. This view is then extracted nightly, through the team's working ELT pipeline, into a BigQuery table (fact_supply_signal) that Ngozi's dashboard reads from. The specific mechanism that resolves the scenario is the foreign key chain itself: hub_suppliers.supplier_id is the single shared identity that lets an AgriCore harvest record and a Meridian Retail delivery record both refer to literally the same real-world supplier, without either division needing to know or duplicate the other's internal data structure.</w:t>
      </w:r>
    </w:p>
    <w:p>
      <w:pPr>
        <w:pStyle w:val="Heading2"/>
        <w:spacing w:after="140" w:before="260"/>
      </w:pPr>
      <w:r>
        <w:t xml:space="preserve">1.4 How the KPI Visuals Solve It</w:t>
      </w:r>
    </w:p>
    <w:p>
      <w:pPr>
        <w:spacing w:after="160"/>
      </w:pPr>
      <w:r>
        <w:rPr>
          <w:b/>
          <w:bCs/>
        </w:rPr>
        <w:t xml:space="preserve">At-risk delivery count (Card): </w:t>
      </w:r>
      <w:r>
        <w:t xml:space="preserve">Gives Ngozi, or her regional manager, an immediate, single-glance answer to 'is there a problem right now' — zero clicks, zero query-writing, the exact opposite of discovering a shortfall only when a truck fails to show up.</w:t>
      </w:r>
    </w:p>
    <w:p>
      <w:pPr>
        <w:spacing w:after="160"/>
      </w:pPr>
      <w:r>
        <w:rPr>
          <w:b/>
          <w:bCs/>
        </w:rPr>
        <w:t xml:space="preserve">Harvested volume trend (KPI visual with sparkline): </w:t>
      </w:r>
      <w:r>
        <w:t xml:space="preserve">This is what actually answers 'is this a one-day blip or a real shortfall' — the specific uncertainty that cost Ngozi eight percent of her revenue in the original scenario. A sparkline showing volume dropping over several harvest cycles reads completely differently from one showing a single-day dip.</w:t>
      </w:r>
    </w:p>
    <w:p>
      <w:pPr>
        <w:spacing w:after="160"/>
      </w:pPr>
      <w:r>
        <w:rPr>
          <w:b/>
          <w:bCs/>
        </w:rPr>
        <w:t xml:space="preserve">At-risk percentage (Gauge): </w:t>
      </w:r>
      <w:r>
        <w:t xml:space="preserve">Converts a raw count into a severity signal against a threshold — useful for a regional or executive viewer deciding how urgently to intervene, not just whether to.</w:t>
      </w:r>
    </w:p>
    <w:p>
      <w:pPr>
        <w:spacing w:after="160"/>
      </w:pPr>
      <w:r>
        <w:rPr>
          <w:b/>
          <w:bCs/>
        </w:rPr>
        <w:t xml:space="preserve">Detail table with conditional formatting: </w:t>
      </w:r>
      <w:r>
        <w:t xml:space="preserve">This is the actionable layer: not just 'there is a problem' but which specific deliveries, which products, and how overdue — colour-coded so a delayed delivery is visually impossible to miss.</w:t>
      </w:r>
    </w:p>
    <w:p>
      <w:r>
        <w:br w:type="page"/>
      </w:r>
    </w:p>
    <w:p>
      <w:pPr>
        <w:pStyle w:val="Heading1"/>
        <w:spacing w:after="180" w:before="360"/>
      </w:pPr>
      <w:r>
        <w:t xml:space="preserve">Scenario 2 — Chinedu and the Invisible History</w:t>
      </w:r>
    </w:p>
    <w:p>
      <w:pPr>
        <w:pStyle w:val="Heading2"/>
        <w:spacing w:after="140" w:before="260"/>
      </w:pPr>
      <w:r>
        <w:t xml:space="preserve">2.1 Who, and Which Divisions</w:t>
      </w:r>
    </w:p>
    <w:p>
      <w:pPr>
        <w:spacing w:after="160"/>
      </w:pPr>
      <w:r>
        <w:rPr>
          <w:b/>
          <w:bCs/>
        </w:rPr>
        <w:t xml:space="preserve">Person: </w:t>
      </w:r>
      <w:r>
        <w:t xml:space="preserve">Chinedu, a Veridian Financial Services loan officer.</w:t>
      </w:r>
    </w:p>
    <w:p>
      <w:pPr>
        <w:spacing w:after="160"/>
      </w:pPr>
      <w:r>
        <w:rPr>
          <w:b/>
          <w:bCs/>
        </w:rPr>
        <w:t xml:space="preserve">Primary division: </w:t>
      </w:r>
      <w:r>
        <w:t xml:space="preserve">Veridian Financial Services (VFS).</w:t>
      </w:r>
    </w:p>
    <w:p>
      <w:pPr>
        <w:spacing w:after="160"/>
      </w:pPr>
      <w:r>
        <w:rPr>
          <w:b/>
          <w:bCs/>
        </w:rPr>
        <w:t xml:space="preserve">Secondary division involved: </w:t>
      </w:r>
      <w:r>
        <w:t xml:space="preserve">AgriCore — the division holding the farmer's real operating history.</w:t>
      </w:r>
    </w:p>
    <w:p>
      <w:pPr>
        <w:pStyle w:val="Heading2"/>
        <w:spacing w:after="140" w:before="260"/>
      </w:pPr>
      <w:r>
        <w:t xml:space="preserve">2.2 The Problem, In Detail</w:t>
      </w:r>
    </w:p>
    <w:p>
      <w:pPr>
        <w:spacing w:after="160"/>
      </w:pPr>
      <w:r>
        <w:t xml:space="preserve">Chinedu is assessing a working-capital loan application from Ibrahim, a smallholder farmer who has supplied AgriCore reliably for six years. Under VFS's current process, Chinedu can see only Ibrahim's two years of banking history, because that is the only history VFS's core banking system contains. He has no lawful or practical way to see Ibrahim's six-year AgriCore supply record — which would be a considerably stronger creditworthiness signal than two years of banking activity alone. This is compounded by a genuine regulatory constraint: VFS's data cannot simply be merged wholesale with the rest of the group, and a customer's retail or supply history cannot be shared with a credit officer without a lawful basis and the customer's consent.</w:t>
      </w:r>
    </w:p>
    <w:p>
      <w:pPr>
        <w:pStyle w:val="Heading2"/>
        <w:spacing w:after="140" w:before="260"/>
      </w:pPr>
      <w:r>
        <w:t xml:space="preserve">2.3 How the Database Solves It</w:t>
      </w:r>
    </w:p>
    <w:p>
      <w:pPr>
        <w:spacing w:after="160"/>
      </w:pPr>
      <w:r>
        <w:t xml:space="preserve">The chain here is deliberately more restrictive than Scenario 1, because it must respect the Section 2.3 regulatory boundary:</w:t>
      </w:r>
    </w:p>
    <w:p>
      <w:pPr>
        <w:shd w:fill="F2F2F0" w:val="clear"/>
        <w:spacing w:after="40"/>
        <w:ind w:left="360"/>
      </w:pPr>
      <w:r>
        <w:rPr>
          <w:rFonts w:ascii="Courier New" w:cs="Courier New" w:eastAsia="Courier New" w:hAnsi="Courier New"/>
          <w:sz w:val="18"/>
          <w:szCs w:val="18"/>
        </w:rPr>
        <w:t xml:space="preserve">agr_farmers -&gt; hub_suppliers -&gt; agr_farms -&gt; agr_harvest_batches (aggregated)</w:t>
      </w:r>
    </w:p>
    <w:p>
      <w:pPr>
        <w:shd w:fill="F2F2F0" w:val="clear"/>
        <w:spacing w:after="40"/>
        <w:ind w:left="360"/>
      </w:pPr>
      <w:r>
        <w:rPr>
          <w:rFonts w:ascii="Courier New" w:cs="Courier New" w:eastAsia="Courier New" w:hAnsi="Courier New"/>
          <w:sz w:val="18"/>
          <w:szCs w:val="18"/>
        </w:rPr>
        <w:t xml:space="preserve">  -&gt; agr_farmer_loans_reference -&gt; vfs_loans</w:t>
      </w:r>
    </w:p>
    <w:p>
      <w:pPr>
        <w:spacing w:after="160"/>
      </w:pPr>
      <w:r>
        <w:t xml:space="preserve">Rather than giving Chinedu raw access to AgriCore's operational tables, the platform exposes a purpose-built, aggregated, consent-gated view (vw_elt_farmer_credit_summary) that summarises total harvest batches, total volume, and first/most recent harvest date per farmer, joined to that farmer's loan status. Row Level Security restricts this data so it is genuinely only reachable by the financial_services role — verified directly against the database's own policy catalogue, not just assumed from the design. This is the exact 'appropriately permissioned view' the brief's own account of this scenario calls for: Chinedu gets a decision-useful signal without ever being granted blanket access to AgriCore's raw data.</w:t>
      </w:r>
    </w:p>
    <w:p>
      <w:pPr>
        <w:pStyle w:val="Heading2"/>
        <w:spacing w:after="140" w:before="260"/>
      </w:pPr>
      <w:r>
        <w:t xml:space="preserve">2.4 How the KPI Visuals Solve It</w:t>
      </w:r>
    </w:p>
    <w:p>
      <w:pPr>
        <w:spacing w:after="160"/>
      </w:pPr>
      <w:r>
        <w:rPr>
          <w:b/>
          <w:bCs/>
        </w:rPr>
        <w:t xml:space="preserve">Active loan book value (Card, currency-formatted): </w:t>
      </w:r>
      <w:r>
        <w:t xml:space="preserve">Gives Chinedu's team portfolio-level context before looking at an individual application — how much capital is already deployed to AgriCore-linked borrowers.</w:t>
      </w:r>
    </w:p>
    <w:p>
      <w:pPr>
        <w:spacing w:after="160"/>
      </w:pPr>
      <w:r>
        <w:rPr>
          <w:b/>
          <w:bCs/>
        </w:rPr>
        <w:t xml:space="preserve">Average loan size (Card): </w:t>
      </w:r>
      <w:r>
        <w:t xml:space="preserve">A quick benchmark Chinedu can compare Ibrahim's specific application against.</w:t>
      </w:r>
    </w:p>
    <w:p>
      <w:pPr>
        <w:spacing w:after="160"/>
      </w:pPr>
      <w:r>
        <w:rPr>
          <w:b/>
          <w:bCs/>
        </w:rPr>
        <w:t xml:space="preserve">Loan status split (Donut chart): </w:t>
      </w:r>
      <w:r>
        <w:t xml:space="preserve">Shows the health of the existing AgriCore-linked loan book at a glance — a high proportion of 'defaulted' would be a very different context for a new application than a portfolio that is mostly 'active' and 'repaid'.</w:t>
      </w:r>
    </w:p>
    <w:p>
      <w:pPr>
        <w:spacing w:after="160"/>
      </w:pPr>
      <w:r>
        <w:rPr>
          <w:b/>
          <w:bCs/>
        </w:rPr>
        <w:t xml:space="preserve">Farmer table with a data bar on total_volume_kg: </w:t>
      </w:r>
      <w:r>
        <w:t xml:space="preserve">This is the direct visual answer to the scenario's actual ask: a data bar turns a farmer's supply volume into an immediate, comparable visual signal of established operating history — literally making six years of reliable AgriCore supply visible to Chinedu at a glance, which is the exact thing the brief says he currently cannot see.</w:t>
      </w:r>
    </w:p>
    <w:p>
      <w:r>
        <w:br w:type="page"/>
      </w:r>
    </w:p>
    <w:p>
      <w:pPr>
        <w:pStyle w:val="Heading1"/>
        <w:spacing w:after="180" w:before="360"/>
      </w:pPr>
      <w:r>
        <w:t xml:space="preserve">Scenario 3 — Funmi and the Double-Booked Warehouse</w:t>
      </w:r>
    </w:p>
    <w:p>
      <w:pPr>
        <w:pStyle w:val="Heading2"/>
        <w:spacing w:after="140" w:before="260"/>
      </w:pPr>
      <w:r>
        <w:t xml:space="preserve">3.1 Who, and Which Divisions</w:t>
      </w:r>
    </w:p>
    <w:p>
      <w:pPr>
        <w:spacing w:after="160"/>
      </w:pPr>
      <w:r>
        <w:rPr>
          <w:b/>
          <w:bCs/>
        </w:rPr>
        <w:t xml:space="preserve">Person: </w:t>
      </w:r>
      <w:r>
        <w:t xml:space="preserve">Funmi, a Concord Logistics dispatcher at the Ibadan depot.</w:t>
      </w:r>
    </w:p>
    <w:p>
      <w:pPr>
        <w:spacing w:after="160"/>
      </w:pPr>
      <w:r>
        <w:rPr>
          <w:b/>
          <w:bCs/>
        </w:rPr>
        <w:t xml:space="preserve">Primary division: </w:t>
      </w:r>
      <w:r>
        <w:t xml:space="preserve">Concord Logistics.</w:t>
      </w:r>
    </w:p>
    <w:p>
      <w:pPr>
        <w:spacing w:after="160"/>
      </w:pPr>
      <w:r>
        <w:rPr>
          <w:b/>
          <w:bCs/>
        </w:rPr>
        <w:t xml:space="preserve">Secondary division involved: </w:t>
      </w:r>
      <w:r>
        <w:t xml:space="preserve">Veridian Properties — the division that owns and manages the lease Funmi depends on but cannot see.</w:t>
      </w:r>
    </w:p>
    <w:p>
      <w:pPr>
        <w:pStyle w:val="Heading2"/>
        <w:spacing w:after="140" w:before="260"/>
      </w:pPr>
      <w:r>
        <w:t xml:space="preserve">3.2 The Problem, In Detail</w:t>
      </w:r>
    </w:p>
    <w:p>
      <w:pPr>
        <w:spacing w:after="160"/>
      </w:pPr>
      <w:r>
        <w:t xml:space="preserve">Funmi discovers, only when a driver physically arrives to unload, that the warehouse bay she expected to use has been allocated to a different shipment, because a lease amendment made by Veridian Properties was never communicated to her team. The delivery is delayed six hours while an alternative is found. This is the same underlying pattern documented elsewhere in the brief as a real, repeated problem: Concord Logistics has, on at least two separate documented occasions, been charged for warehouse capacity it was not actually using, precisely because lease information lives entirely inside Properties' own spreadsheets with no shared visibility.</w:t>
      </w:r>
    </w:p>
    <w:p>
      <w:pPr>
        <w:pStyle w:val="Heading2"/>
        <w:spacing w:after="140" w:before="260"/>
      </w:pPr>
      <w:r>
        <w:t xml:space="preserve">3.3 How the Database Solves It</w:t>
      </w:r>
    </w:p>
    <w:p>
      <w:pPr>
        <w:spacing w:after="160"/>
      </w:pPr>
      <w:r>
        <w:t xml:space="preserve">The structural fix is a single, direct foreign key, deliberately added even though the two tables it connects are built and owned by two different team members:</w:t>
      </w:r>
    </w:p>
    <w:p>
      <w:pPr>
        <w:shd w:fill="F2F2F0" w:val="clear"/>
        <w:spacing w:after="40"/>
        <w:ind w:left="360"/>
      </w:pPr>
      <w:r>
        <w:rPr>
          <w:rFonts w:ascii="Courier New" w:cs="Courier New" w:eastAsia="Courier New" w:hAnsi="Courier New"/>
          <w:sz w:val="18"/>
          <w:szCs w:val="18"/>
        </w:rPr>
        <w:t xml:space="preserve">log_warehouses.leased_from_property_id -&gt; prop_properties.property_id</w:t>
      </w:r>
    </w:p>
    <w:p>
      <w:pPr>
        <w:shd w:fill="F2F2F0" w:val="clear"/>
        <w:spacing w:after="40"/>
        <w:ind w:left="360"/>
      </w:pPr>
      <w:r>
        <w:rPr>
          <w:rFonts w:ascii="Courier New" w:cs="Courier New" w:eastAsia="Courier New" w:hAnsi="Courier New"/>
          <w:sz w:val="18"/>
          <w:szCs w:val="18"/>
        </w:rPr>
        <w:t xml:space="preserve">  -&gt; prop_leases -&gt; prop_tenants</w:t>
      </w:r>
    </w:p>
    <w:p>
      <w:pPr>
        <w:spacing w:after="160"/>
      </w:pPr>
      <w:r>
        <w:t xml:space="preserve">This alone would not be sufficient, however, without also solving a subtler problem: at any given moment, a lease might be current or historical, and the business rule (Section 5.3 of the brief) requires that a tenant can never hold two currently-active leases on the same property at once. This is enforced physically, not just by convention, through a trigger-maintained is_current column and a partial unique index (uidx_one_active_lease_per_tenant) that makes a conflicting double-booking impossible to insert into the database in the first place — not merely unlikely, but structurally prevented. The curated view vw_elt_warehouse_lease_status joins all of this together into the single, current-status picture that now feeds Funmi's dashboard.</w:t>
      </w:r>
    </w:p>
    <w:p>
      <w:pPr>
        <w:pStyle w:val="Heading2"/>
        <w:spacing w:after="140" w:before="260"/>
      </w:pPr>
      <w:r>
        <w:t xml:space="preserve">3.4 How the KPI Visuals Solve It</w:t>
      </w:r>
    </w:p>
    <w:p>
      <w:pPr>
        <w:spacing w:after="160"/>
      </w:pPr>
      <w:r>
        <w:rPr>
          <w:b/>
          <w:bCs/>
        </w:rPr>
        <w:t xml:space="preserve">Occupancy rate (Gauge): </w:t>
      </w:r>
      <w:r>
        <w:t xml:space="preserve">Gives a fast, capacity-level read on the warehouse network before drilling into any one location.</w:t>
      </w:r>
    </w:p>
    <w:p>
      <w:pPr>
        <w:spacing w:after="160"/>
      </w:pPr>
      <w:r>
        <w:rPr>
          <w:b/>
          <w:bCs/>
        </w:rPr>
        <w:t xml:space="preserve">Leases expiring within 30 days (Card, alert-coloured): </w:t>
      </w:r>
      <w:r>
        <w:t xml:space="preserve">This is the proactive fix for Funmi's specific problem: rather than discovering a lease issue when a truck arrives, this KPI surfaces an approaching change before it becomes a same-day emergency.</w:t>
      </w:r>
    </w:p>
    <w:p>
      <w:pPr>
        <w:spacing w:after="160"/>
      </w:pPr>
      <w:r>
        <w:rPr>
          <w:b/>
          <w:bCs/>
        </w:rPr>
        <w:t xml:space="preserve">Warehouse locations (Map): </w:t>
      </w:r>
      <w:r>
        <w:t xml:space="preserve">Gives dispatch a spatial view of the network, useful for the kind of rerouting decisions Funmi's role actually requires day to day.</w:t>
      </w:r>
    </w:p>
    <w:p>
      <w:pPr>
        <w:spacing w:after="160"/>
      </w:pPr>
      <w:r>
        <w:rPr>
          <w:b/>
          <w:bCs/>
        </w:rPr>
        <w:t xml:space="preserve">Lease detail table with conditional formatting (expired = red, expiring soon = amber): </w:t>
      </w:r>
      <w:r>
        <w:t xml:space="preserve">This is the direct, actionable answer to the scenario: Funmi does not need to interpret raw dates, she needs a visually obvious flag on anything that could cause exactly the six-hour delay described in the brief.</w:t>
      </w:r>
    </w:p>
    <w:p>
      <w:r>
        <w:br w:type="page"/>
      </w:r>
    </w:p>
    <w:p>
      <w:pPr>
        <w:pStyle w:val="Heading1"/>
        <w:spacing w:after="180" w:before="360"/>
      </w:pPr>
      <w:r>
        <w:t xml:space="preserve">Scenario 4 — Adaeze and the Twenty-One Day Wait</w:t>
      </w:r>
    </w:p>
    <w:p>
      <w:pPr>
        <w:pStyle w:val="Heading2"/>
        <w:spacing w:after="140" w:before="260"/>
      </w:pPr>
      <w:r>
        <w:t xml:space="preserve">4.1 Who, and Which Divisions</w:t>
      </w:r>
    </w:p>
    <w:p>
      <w:pPr>
        <w:spacing w:after="160"/>
      </w:pPr>
      <w:r>
        <w:rPr>
          <w:b/>
          <w:bCs/>
        </w:rPr>
        <w:t xml:space="preserve">Person: </w:t>
      </w:r>
      <w:r>
        <w:t xml:space="preserve">Adaeze Okonji-Bello, Group Chief Executive Officer.</w:t>
      </w:r>
    </w:p>
    <w:p>
      <w:pPr>
        <w:spacing w:after="160"/>
      </w:pPr>
      <w:r>
        <w:rPr>
          <w:b/>
          <w:bCs/>
        </w:rPr>
        <w:t xml:space="preserve">Divisions involved: </w:t>
      </w:r>
      <w:r>
        <w:t xml:space="preserve">All five — this is the one scenario that is genuinely cross-divisional by design, not a two-division problem like the first three.</w:t>
      </w:r>
    </w:p>
    <w:p>
      <w:pPr>
        <w:pStyle w:val="Heading2"/>
        <w:spacing w:after="140" w:before="260"/>
      </w:pPr>
      <w:r>
        <w:t xml:space="preserve">4.2 The Problem, In Detail</w:t>
      </w:r>
    </w:p>
    <w:p>
      <w:pPr>
        <w:spacing w:after="160"/>
      </w:pPr>
      <w:r>
        <w:t xml:space="preserve">Adaeze needs to decide, this quarter, whether to approve a significant capital investment, and that decision genuinely depends on knowing how each division performed last month. The consolidated management accounts will not be ready for another three weeks, because figures must be manually extracted from five separate systems, reconciled by hand, and checked for the inevitable discrepancies that arise when the same customer, supplier, or transaction is recorded slightly differently in two places. She makes major decisions on incomplete, weeks-out-of-date information because the alternative is not deciding at all.</w:t>
      </w:r>
    </w:p>
    <w:p>
      <w:pPr>
        <w:pStyle w:val="Heading2"/>
        <w:spacing w:after="140" w:before="260"/>
      </w:pPr>
      <w:r>
        <w:t xml:space="preserve">4.3 How the Database Solves It</w:t>
      </w:r>
    </w:p>
    <w:p>
      <w:pPr>
        <w:spacing w:after="160"/>
      </w:pPr>
      <w:r>
        <w:t xml:space="preserve">This scenario is answered not by one join chain but by a union across three real revenue-bearing sources, refreshed on a schedule rather than reconstructed by hand each month:</w:t>
      </w:r>
    </w:p>
    <w:p>
      <w:pPr>
        <w:shd w:fill="F2F2F0" w:val="clear"/>
        <w:spacing w:after="40"/>
        <w:ind w:left="360"/>
      </w:pPr>
      <w:r>
        <w:rPr>
          <w:rFonts w:ascii="Courier New" w:cs="Courier New" w:eastAsia="Courier New" w:hAnsi="Courier New"/>
          <w:sz w:val="18"/>
          <w:szCs w:val="18"/>
        </w:rPr>
        <w:t xml:space="preserve">ret_pos_transactions        (real Retail revenue)</w:t>
      </w:r>
    </w:p>
    <w:p>
      <w:pPr>
        <w:shd w:fill="F2F2F0" w:val="clear"/>
        <w:spacing w:after="40"/>
        <w:ind w:left="360"/>
      </w:pPr>
      <w:r>
        <w:rPr>
          <w:rFonts w:ascii="Courier New" w:cs="Courier New" w:eastAsia="Courier New" w:hAnsi="Courier New"/>
          <w:sz w:val="18"/>
          <w:szCs w:val="18"/>
        </w:rPr>
        <w:t xml:space="preserve">  UNION ALL</w:t>
      </w:r>
    </w:p>
    <w:p>
      <w:pPr>
        <w:shd w:fill="F2F2F0" w:val="clear"/>
        <w:spacing w:after="40"/>
        <w:ind w:left="360"/>
      </w:pPr>
      <w:r>
        <w:rPr>
          <w:rFonts w:ascii="Courier New" w:cs="Courier New" w:eastAsia="Courier New" w:hAnsi="Courier New"/>
          <w:sz w:val="18"/>
          <w:szCs w:val="18"/>
        </w:rPr>
        <w:t xml:space="preserve">vfs_merchant_settlements    (real VFS settlement revenue)</w:t>
      </w:r>
    </w:p>
    <w:p>
      <w:pPr>
        <w:shd w:fill="F2F2F0" w:val="clear"/>
        <w:spacing w:after="40"/>
        <w:ind w:left="360"/>
      </w:pPr>
      <w:r>
        <w:rPr>
          <w:rFonts w:ascii="Courier New" w:cs="Courier New" w:eastAsia="Courier New" w:hAnsi="Courier New"/>
          <w:sz w:val="18"/>
          <w:szCs w:val="18"/>
        </w:rPr>
        <w:t xml:space="preserve">  UNION ALL</w:t>
      </w:r>
    </w:p>
    <w:p>
      <w:pPr>
        <w:shd w:fill="F2F2F0" w:val="clear"/>
        <w:spacing w:after="40"/>
        <w:ind w:left="360"/>
      </w:pPr>
      <w:r>
        <w:rPr>
          <w:rFonts w:ascii="Courier New" w:cs="Courier New" w:eastAsia="Courier New" w:hAnsi="Courier New"/>
          <w:sz w:val="18"/>
          <w:szCs w:val="18"/>
        </w:rPr>
        <w:t xml:space="preserve">log_shipment_legs           (Logistics activity -- see honesty note below)</w:t>
      </w:r>
    </w:p>
    <w:p>
      <w:pPr>
        <w:spacing w:after="160"/>
      </w:pPr>
      <w:r>
        <w:t xml:space="preserve">This union is defined once, as the curated view vw_elt_daily_revenue_by_division, and is extracted automatically every time the ELT pipeline runs — proven, in this project, to complete in under 80 seconds end to end. What took Group Finance twenty-one days of manual reconciliation is, structurally, now a scheduled job measured in seconds. One honesty note that belongs in this document as much as on the dashboard itself: the Logistics figure in this union is a modelled proxy (shipment-leg volume multiplied by a placeholder rate), not real freight billing data, since per-shipment billing detail was out of scope for this build. This is disclosed directly, both here and as a visible note on the live dashboard.</w:t>
      </w:r>
    </w:p>
    <w:p>
      <w:pPr>
        <w:pStyle w:val="Heading2"/>
        <w:spacing w:after="140" w:before="260"/>
      </w:pPr>
      <w:r>
        <w:t xml:space="preserve">4.4 How the KPI Visuals Solve It</w:t>
      </w:r>
    </w:p>
    <w:p>
      <w:pPr>
        <w:spacing w:after="160"/>
      </w:pPr>
      <w:r>
        <w:rPr>
          <w:b/>
          <w:bCs/>
        </w:rPr>
        <w:t xml:space="preserve">Total revenue (KPI visual with trend arrow and sparkline): </w:t>
      </w:r>
      <w:r>
        <w:t xml:space="preserve">This is the single most direct answer to the scenario: same-day revenue, with a built-in comparison against the prior period, replacing a twenty-one day wait with an at-a-glance figure Adaeze can check every morning.</w:t>
      </w:r>
    </w:p>
    <w:p>
      <w:pPr>
        <w:spacing w:after="160"/>
      </w:pPr>
      <w:r>
        <w:rPr>
          <w:b/>
          <w:bCs/>
        </w:rPr>
        <w:t xml:space="preserve">Transaction count (Card): </w:t>
      </w:r>
      <w:r>
        <w:t xml:space="preserve">Gives volume context alongside the revenue figure, useful for distinguishing a revenue change driven by price versus one driven by activity.</w:t>
      </w:r>
    </w:p>
    <w:p>
      <w:pPr>
        <w:spacing w:after="160"/>
      </w:pPr>
      <w:r>
        <w:rPr>
          <w:b/>
          <w:bCs/>
        </w:rPr>
        <w:t xml:space="preserve">Top-performing division (Card with Top N filter): </w:t>
      </w:r>
      <w:r>
        <w:t xml:space="preserve">Answers a genuinely executive question — where is the group's growth actually coming from this period — without requiring Adaeze to read a full table herself.</w:t>
      </w:r>
    </w:p>
    <w:p>
      <w:pPr>
        <w:spacing w:after="160"/>
      </w:pPr>
      <w:r>
        <w:rPr>
          <w:b/>
          <w:bCs/>
        </w:rPr>
        <w:t xml:space="preserve">Revenue by division over time (Stacked column or Ribbon chart): </w:t>
      </w:r>
      <w:r>
        <w:t xml:space="preserve">Lets Adaeze see not just the total but the composition and trend by division simultaneously — precisely the cross-divisional, comparative view that manual reconciliation could never produce quickly enough to be useful for a live capital-investment decision.</w:t>
      </w:r>
    </w:p>
    <w:p>
      <w:r>
        <w:br w:type="page"/>
      </w:r>
    </w:p>
    <w:p>
      <w:pPr>
        <w:pStyle w:val="Heading1"/>
        <w:spacing w:after="180" w:before="360"/>
      </w:pPr>
      <w:r>
        <w:t xml:space="preserve">Summary: Problem to Resolution,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2C2C2A" w:val="clear"/>
            <w:vAlign w:val="center"/>
          </w:tcPr>
          <w:p>
            <w:r>
              <w:rPr>
                <w:b/>
                <w:bCs/>
                <w:color w:val="FFFFFF"/>
                <w:sz w:val="20"/>
                <w:szCs w:val="20"/>
              </w:rPr>
              <w:t xml:space="preserve">Scenario</w:t>
            </w:r>
          </w:p>
        </w:tc>
        <w:tc>
          <w:tcPr>
            <w:tcW w:type="pct" w:w="24%"/>
            <w:shd w:fill="2C2C2A" w:val="clear"/>
            <w:vAlign w:val="center"/>
          </w:tcPr>
          <w:p>
            <w:r>
              <w:rPr>
                <w:b/>
                <w:bCs/>
                <w:color w:val="FFFFFF"/>
                <w:sz w:val="20"/>
                <w:szCs w:val="20"/>
              </w:rPr>
              <w:t xml:space="preserve">Core problem</w:t>
            </w:r>
          </w:p>
        </w:tc>
        <w:tc>
          <w:tcPr>
            <w:tcW w:type="pct" w:w="16%"/>
            <w:shd w:fill="2C2C2A" w:val="clear"/>
            <w:vAlign w:val="center"/>
          </w:tcPr>
          <w:p>
            <w:r>
              <w:rPr>
                <w:b/>
                <w:bCs/>
                <w:color w:val="FFFFFF"/>
                <w:sz w:val="20"/>
                <w:szCs w:val="20"/>
              </w:rPr>
              <w:t xml:space="preserve">Divisions</w:t>
            </w:r>
          </w:p>
        </w:tc>
        <w:tc>
          <w:tcPr>
            <w:tcW w:type="pct" w:w="26%"/>
            <w:shd w:fill="2C2C2A" w:val="clear"/>
            <w:vAlign w:val="center"/>
          </w:tcPr>
          <w:p>
            <w:r>
              <w:rPr>
                <w:b/>
                <w:bCs/>
                <w:color w:val="FFFFFF"/>
                <w:sz w:val="20"/>
                <w:szCs w:val="20"/>
              </w:rPr>
              <w:t xml:space="preserve">Database mechanism</w:t>
            </w:r>
          </w:p>
        </w:tc>
        <w:tc>
          <w:tcPr>
            <w:tcW w:type="pct" w:w="22%"/>
            <w:shd w:fill="2C2C2A" w:val="clear"/>
            <w:vAlign w:val="center"/>
          </w:tcPr>
          <w:p>
            <w:r>
              <w:rPr>
                <w:b/>
                <w:bCs/>
                <w:color w:val="FFFFFF"/>
                <w:sz w:val="20"/>
                <w:szCs w:val="20"/>
              </w:rPr>
              <w:t xml:space="preserve">KPI resolution</w:t>
            </w:r>
          </w:p>
        </w:tc>
      </w:tr>
      <w:tr>
        <w:tc>
          <w:tcPr>
            <w:tcW w:type="pct" w:w="12%"/>
            <w:vAlign w:val="center"/>
          </w:tcPr>
          <w:p>
            <w:r>
              <w:rPr>
                <w:b w:val="false"/>
                <w:bCs w:val="false"/>
                <w:sz w:val="20"/>
                <w:szCs w:val="20"/>
              </w:rPr>
              <w:t xml:space="preserve">1 - Ngozi</w:t>
            </w:r>
          </w:p>
        </w:tc>
        <w:tc>
          <w:tcPr>
            <w:tcW w:type="pct" w:w="24%"/>
            <w:vAlign w:val="center"/>
          </w:tcPr>
          <w:p>
            <w:r>
              <w:rPr>
                <w:b w:val="false"/>
                <w:bCs w:val="false"/>
                <w:sz w:val="20"/>
                <w:szCs w:val="20"/>
              </w:rPr>
              <w:t xml:space="preserve">No warning of AgriCore supply shortfall</w:t>
            </w:r>
          </w:p>
        </w:tc>
        <w:tc>
          <w:tcPr>
            <w:tcW w:type="pct" w:w="16%"/>
            <w:vAlign w:val="center"/>
          </w:tcPr>
          <w:p>
            <w:r>
              <w:rPr>
                <w:b w:val="false"/>
                <w:bCs w:val="false"/>
                <w:sz w:val="20"/>
                <w:szCs w:val="20"/>
              </w:rPr>
              <w:t xml:space="preserve">Retail + AgriCore</w:t>
            </w:r>
          </w:p>
        </w:tc>
        <w:tc>
          <w:tcPr>
            <w:tcW w:type="pct" w:w="26%"/>
            <w:vAlign w:val="center"/>
          </w:tcPr>
          <w:p>
            <w:r>
              <w:rPr>
                <w:b w:val="false"/>
                <w:bCs w:val="false"/>
                <w:sz w:val="20"/>
                <w:szCs w:val="20"/>
              </w:rPr>
              <w:t xml:space="preserve">hub_suppliers as shared identity linking harvest to delivery</w:t>
            </w:r>
          </w:p>
        </w:tc>
        <w:tc>
          <w:tcPr>
            <w:tcW w:type="pct" w:w="22%"/>
            <w:vAlign w:val="center"/>
          </w:tcPr>
          <w:p>
            <w:r>
              <w:rPr>
                <w:b w:val="false"/>
                <w:bCs w:val="false"/>
                <w:sz w:val="20"/>
                <w:szCs w:val="20"/>
              </w:rPr>
              <w:t xml:space="preserve">At-risk card, volume trend KPI, severity gauge, flagged table</w:t>
            </w:r>
          </w:p>
        </w:tc>
      </w:tr>
      <w:tr>
        <w:tc>
          <w:tcPr>
            <w:tcW w:type="pct" w:w="12%"/>
            <w:vAlign w:val="center"/>
          </w:tcPr>
          <w:p>
            <w:r>
              <w:rPr>
                <w:b w:val="false"/>
                <w:bCs w:val="false"/>
                <w:sz w:val="20"/>
                <w:szCs w:val="20"/>
              </w:rPr>
              <w:t xml:space="preserve">2 - Chinedu</w:t>
            </w:r>
          </w:p>
        </w:tc>
        <w:tc>
          <w:tcPr>
            <w:tcW w:type="pct" w:w="24%"/>
            <w:vAlign w:val="center"/>
          </w:tcPr>
          <w:p>
            <w:r>
              <w:rPr>
                <w:b w:val="false"/>
                <w:bCs w:val="false"/>
                <w:sz w:val="20"/>
                <w:szCs w:val="20"/>
              </w:rPr>
              <w:t xml:space="preserve">No lawful visibility into farmer's real supply history</w:t>
            </w:r>
          </w:p>
        </w:tc>
        <w:tc>
          <w:tcPr>
            <w:tcW w:type="pct" w:w="16%"/>
            <w:vAlign w:val="center"/>
          </w:tcPr>
          <w:p>
            <w:r>
              <w:rPr>
                <w:b w:val="false"/>
                <w:bCs w:val="false"/>
                <w:sz w:val="20"/>
                <w:szCs w:val="20"/>
              </w:rPr>
              <w:t xml:space="preserve">VFS + AgriCore</w:t>
            </w:r>
          </w:p>
        </w:tc>
        <w:tc>
          <w:tcPr>
            <w:tcW w:type="pct" w:w="26%"/>
            <w:vAlign w:val="center"/>
          </w:tcPr>
          <w:p>
            <w:r>
              <w:rPr>
                <w:b w:val="false"/>
                <w:bCs w:val="false"/>
                <w:sz w:val="20"/>
                <w:szCs w:val="20"/>
              </w:rPr>
              <w:t xml:space="preserve">Consent-gated, aggregated, RLS-restricted credit summary view</w:t>
            </w:r>
          </w:p>
        </w:tc>
        <w:tc>
          <w:tcPr>
            <w:tcW w:type="pct" w:w="22%"/>
            <w:vAlign w:val="center"/>
          </w:tcPr>
          <w:p>
            <w:r>
              <w:rPr>
                <w:b w:val="false"/>
                <w:bCs w:val="false"/>
                <w:sz w:val="20"/>
                <w:szCs w:val="20"/>
              </w:rPr>
              <w:t xml:space="preserve">Loan book cards, status donut, supply-history data bar</w:t>
            </w:r>
          </w:p>
        </w:tc>
      </w:tr>
      <w:tr>
        <w:tc>
          <w:tcPr>
            <w:tcW w:type="pct" w:w="12%"/>
            <w:vAlign w:val="center"/>
          </w:tcPr>
          <w:p>
            <w:r>
              <w:rPr>
                <w:b w:val="false"/>
                <w:bCs w:val="false"/>
                <w:sz w:val="20"/>
                <w:szCs w:val="20"/>
              </w:rPr>
              <w:t xml:space="preserve">3 - Funmi</w:t>
            </w:r>
          </w:p>
        </w:tc>
        <w:tc>
          <w:tcPr>
            <w:tcW w:type="pct" w:w="24%"/>
            <w:vAlign w:val="center"/>
          </w:tcPr>
          <w:p>
            <w:r>
              <w:rPr>
                <w:b w:val="false"/>
                <w:bCs w:val="false"/>
                <w:sz w:val="20"/>
                <w:szCs w:val="20"/>
              </w:rPr>
              <w:t xml:space="preserve">Lease changes invisible to Logistics, causing double-booking</w:t>
            </w:r>
          </w:p>
        </w:tc>
        <w:tc>
          <w:tcPr>
            <w:tcW w:type="pct" w:w="16%"/>
            <w:vAlign w:val="center"/>
          </w:tcPr>
          <w:p>
            <w:r>
              <w:rPr>
                <w:b w:val="false"/>
                <w:bCs w:val="false"/>
                <w:sz w:val="20"/>
                <w:szCs w:val="20"/>
              </w:rPr>
              <w:t xml:space="preserve">Logistics + Properties</w:t>
            </w:r>
          </w:p>
        </w:tc>
        <w:tc>
          <w:tcPr>
            <w:tcW w:type="pct" w:w="26%"/>
            <w:vAlign w:val="center"/>
          </w:tcPr>
          <w:p>
            <w:r>
              <w:rPr>
                <w:b w:val="false"/>
                <w:bCs w:val="false"/>
                <w:sz w:val="20"/>
                <w:szCs w:val="20"/>
              </w:rPr>
              <w:t xml:space="preserve">Direct FK + trigger-enforced one-active-lease-per-tenant rule</w:t>
            </w:r>
          </w:p>
        </w:tc>
        <w:tc>
          <w:tcPr>
            <w:tcW w:type="pct" w:w="22%"/>
            <w:vAlign w:val="center"/>
          </w:tcPr>
          <w:p>
            <w:r>
              <w:rPr>
                <w:b w:val="false"/>
                <w:bCs w:val="false"/>
                <w:sz w:val="20"/>
                <w:szCs w:val="20"/>
              </w:rPr>
              <w:t xml:space="preserve">Occupancy gauge, expiry alert card, geo map, flagged table</w:t>
            </w:r>
          </w:p>
        </w:tc>
      </w:tr>
      <w:tr>
        <w:tc>
          <w:tcPr>
            <w:tcW w:type="pct" w:w="12%"/>
            <w:vAlign w:val="center"/>
          </w:tcPr>
          <w:p>
            <w:r>
              <w:rPr>
                <w:b w:val="false"/>
                <w:bCs w:val="false"/>
                <w:sz w:val="20"/>
                <w:szCs w:val="20"/>
              </w:rPr>
              <w:t xml:space="preserve">4 - Adaeze</w:t>
            </w:r>
          </w:p>
        </w:tc>
        <w:tc>
          <w:tcPr>
            <w:tcW w:type="pct" w:w="24%"/>
            <w:vAlign w:val="center"/>
          </w:tcPr>
          <w:p>
            <w:r>
              <w:rPr>
                <w:b w:val="false"/>
                <w:bCs w:val="false"/>
                <w:sz w:val="20"/>
                <w:szCs w:val="20"/>
              </w:rPr>
              <w:t xml:space="preserve">21-day manual close, decisions on stale data</w:t>
            </w:r>
          </w:p>
        </w:tc>
        <w:tc>
          <w:tcPr>
            <w:tcW w:type="pct" w:w="16%"/>
            <w:vAlign w:val="center"/>
          </w:tcPr>
          <w:p>
            <w:r>
              <w:rPr>
                <w:b w:val="false"/>
                <w:bCs w:val="false"/>
                <w:sz w:val="20"/>
                <w:szCs w:val="20"/>
              </w:rPr>
              <w:t xml:space="preserve">All five divisions</w:t>
            </w:r>
          </w:p>
        </w:tc>
        <w:tc>
          <w:tcPr>
            <w:tcW w:type="pct" w:w="26%"/>
            <w:vAlign w:val="center"/>
          </w:tcPr>
          <w:p>
            <w:r>
              <w:rPr>
                <w:b w:val="false"/>
                <w:bCs w:val="false"/>
                <w:sz w:val="20"/>
                <w:szCs w:val="20"/>
              </w:rPr>
              <w:t xml:space="preserve">Scheduled ELT union of real revenue sources across divisions</w:t>
            </w:r>
          </w:p>
        </w:tc>
        <w:tc>
          <w:tcPr>
            <w:tcW w:type="pct" w:w="22%"/>
            <w:vAlign w:val="center"/>
          </w:tcPr>
          <w:p>
            <w:r>
              <w:rPr>
                <w:b w:val="false"/>
                <w:bCs w:val="false"/>
                <w:sz w:val="20"/>
                <w:szCs w:val="20"/>
              </w:rPr>
              <w:t xml:space="preserve">Revenue KPI with trend, top-division card, division comparison chart</w:t>
            </w:r>
          </w:p>
        </w:tc>
      </w:tr>
    </w:tbl>
    <w:p>
      <w:pPr>
        <w:spacing w:after="160"/>
      </w:pPr>
      <w:r>
        <w:t xml:space="preserve">Every resolution above is traceable to a real, executed piece of the platform — a specific foreign key, a specific Row Level Security policy, a specific curated view, and a specific Power BI visual — not a general claim that 'the database helps with this.' That traceability is itself the actual proof this project is asking for.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2026-08-20T08:58:13.100Z</dcterms:created>
  <dcterms:modified xsi:type="dcterms:W3CDTF">2026-08-20T08:58:13.115Z</dcterms:modified>
</cp:coreProperties>
</file>

<file path=docProps/custom.xml><?xml version="1.0" encoding="utf-8"?>
<Properties xmlns="http://schemas.openxmlformats.org/officeDocument/2006/custom-properties" xmlns:vt="http://schemas.openxmlformats.org/officeDocument/2006/docPropsVTypes"/>
</file>