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b/>
          <w:bCs/>
          <w:color w:val="1C2B4A"/>
          <w:sz w:val="48"/>
          <w:szCs w:val="48"/>
        </w:rPr>
        <w:t xml:space="preserve">THE CONCORD SIX</w:t>
      </w:r>
    </w:p>
    <w:p>
      <w:pPr>
        <w:spacing w:after="400" w:before="120"/>
        <w:jc w:val="center"/>
      </w:pPr>
      <w:r>
        <w:rPr>
          <w:color w:val="5B3A7A"/>
          <w:sz w:val="28"/>
          <w:szCs w:val="28"/>
        </w:rPr>
        <w:t xml:space="preserve">Weekly Progress Report — Week 1</w:t>
      </w:r>
    </w:p>
    <w:p>
      <w:pPr>
        <w:jc w:val="center"/>
      </w:pPr>
      <w:r>
        <w:rPr>
          <w:sz w:val="22"/>
          <w:szCs w:val="22"/>
        </w:rPr>
        <w:t xml:space="preserve">Project: Project Concord — Veridian Unified Data Platform</w:t>
      </w:r>
    </w:p>
    <w:p>
      <w:pPr>
        <w:spacing w:after="20"/>
        <w:jc w:val="center"/>
      </w:pPr>
      <w:r>
        <w:rPr>
          <w:i/>
          <w:iCs/>
          <w:sz w:val="20"/>
          <w:szCs w:val="20"/>
        </w:rPr>
        <w:t xml:space="preserve">Reference: VCH-PC-2026-01</w:t>
      </w:r>
    </w:p>
    <w:p>
      <w:pPr>
        <w:spacing w:after="400"/>
        <w:jc w:val="center"/>
      </w:pPr>
      <w:r>
        <w:rPr>
          <w:sz w:val="20"/>
          <w:szCs w:val="20"/>
        </w:rPr>
        <w:t xml:space="preserve">Reporting Period: Week 1 of 4 — Phase 1 &amp; Phase 2 (Business Immersion, Design)</w:t>
      </w:r>
    </w:p>
    <w:p>
      <w:pPr>
        <w:jc w:val="center"/>
      </w:pPr>
      <w:r>
        <w:rPr>
          <w:b/>
          <w:bCs/>
          <w:sz w:val="22"/>
          <w:szCs w:val="22"/>
        </w:rPr>
        <w:t xml:space="preserve">Team Members</w:t>
      </w:r>
    </w:p>
    <w:p>
      <w:pPr>
        <w:spacing w:after="40"/>
        <w:jc w:val="center"/>
      </w:pPr>
      <w:r>
        <w:rPr>
          <w:sz w:val="20"/>
          <w:szCs w:val="20"/>
        </w:rPr>
        <w:t xml:space="preserve">Fiberesima Ibidabo Joshua</w:t>
      </w:r>
    </w:p>
    <w:p>
      <w:pPr>
        <w:spacing w:after="40"/>
        <w:jc w:val="center"/>
      </w:pPr>
      <w:r>
        <w:rPr>
          <w:sz w:val="20"/>
          <w:szCs w:val="20"/>
        </w:rPr>
        <w:t xml:space="preserve">Godsfavour James</w:t>
      </w:r>
    </w:p>
    <w:p>
      <w:pPr>
        <w:spacing w:after="40"/>
        <w:jc w:val="center"/>
      </w:pPr>
      <w:r>
        <w:rPr>
          <w:sz w:val="20"/>
          <w:szCs w:val="20"/>
        </w:rPr>
        <w:t xml:space="preserve">Ola Aulewon</w:t>
      </w:r>
    </w:p>
    <w:p>
      <w:pPr>
        <w:spacing w:after="40"/>
        <w:jc w:val="center"/>
      </w:pPr>
      <w:r>
        <w:rPr>
          <w:sz w:val="20"/>
          <w:szCs w:val="20"/>
        </w:rPr>
        <w:t xml:space="preserve">Victor Umanah</w:t>
      </w:r>
    </w:p>
    <w:p>
      <w:pPr>
        <w:spacing w:after="40"/>
        <w:jc w:val="center"/>
      </w:pPr>
      <w:r>
        <w:rPr>
          <w:sz w:val="20"/>
          <w:szCs w:val="20"/>
        </w:rPr>
        <w:t xml:space="preserve">Kamsy Krystal</w:t>
      </w:r>
    </w:p>
    <w:p>
      <w:pPr>
        <w:spacing w:after="40"/>
        <w:jc w:val="center"/>
      </w:pPr>
      <w:r>
        <w:rPr>
          <w:sz w:val="20"/>
          <w:szCs w:val="20"/>
        </w:rPr>
        <w:t xml:space="preserve">Kachi</w:t>
      </w:r>
    </w:p>
    <w:p>
      <w:r>
        <w:br w:type="page"/>
      </w:r>
    </w:p>
    <w:p>
      <w:pPr>
        <w:pStyle w:val="Heading1"/>
        <w:spacing w:after="180" w:before="360"/>
      </w:pPr>
      <w:r>
        <w:t xml:space="preserve">1. Executive Summary</w:t>
      </w:r>
    </w:p>
    <w:p>
      <w:pPr>
        <w:spacing w:after="160"/>
      </w:pPr>
      <w:r>
        <w:t xml:space="preserve">This is the Week 1 status report for The Concord Six's build of Project Concord, the Veridian Unified Data Platform. This week's focus was business immersion and initial design setup, per Phase 1 and the start of Phase 2 of the eight-week engagement plan. The team read and summarised the full client brief, produced a reverse-engineered entity relationship diagram to establish a shared, whole-project view before any individual member began writing SQL, and set up a shared Supabase project so all six members can work against the same live database rather than six local copies. Schema implementation has begun but is intentionally partial at this stage — the full 40-table build is scoped across the remainder of the month, not Week 1.</w:t>
      </w:r>
    </w:p>
    <w:p>
      <w:pPr>
        <w:spacing w:after="160"/>
      </w:pPr>
      <w:r>
        <w:rPr>
          <w:b/>
          <w:bCs/>
        </w:rPr>
        <w:t xml:space="preserve">Overall status: </w:t>
      </w:r>
      <w:r>
        <w:t xml:space="preserve">On track, with two infrastructure issues resolved this week and one open scope question flagged for team discussion (Section 3).</w:t>
      </w:r>
    </w:p>
    <w:p>
      <w:pPr>
        <w:pStyle w:val="Heading1"/>
        <w:spacing w:after="180" w:before="360"/>
      </w:pPr>
      <w:r>
        <w:t xml:space="preserve">2. Problem Statement</w:t>
      </w:r>
    </w:p>
    <w:p>
      <w:pPr>
        <w:spacing w:after="160"/>
      </w:pPr>
      <w:r>
        <w:t xml:space="preserve">Two distinct problem statements are relevant to this report: the business problem the platform itself is being built to solve, and the practical team problems encountered while beginning to build it.</w:t>
      </w:r>
    </w:p>
    <w:p>
      <w:pPr>
        <w:pStyle w:val="Heading2"/>
        <w:spacing w:after="140" w:before="260"/>
      </w:pPr>
      <w:r>
        <w:t xml:space="preserve">2.1 The Business Problem (from the client brief)</w:t>
      </w:r>
    </w:p>
    <w:p>
      <w:pPr>
        <w:spacing w:after="160"/>
      </w:pPr>
      <w:r>
        <w:t xml:space="preserve">Veridian Consolidated Holdings operates five divisions that grew through acquisition and organic expansion, each running its own disconnected technology stack. The group cannot currently answer basic cross-divisional questions — which loyalty customers also hold a wallet account, which farmers are also active borrowers, how much warehouse capacity is being paid for but not used — because the underlying systems have never been able to compare notes. This fragmentation is estimated to cost the group 4–6% of annual revenue. Project Concord exists to correct this without repeating two previous failed attempts (2019, 2022), both of which collapsed under uncontrolled scope.</w:t>
      </w:r>
    </w:p>
    <w:p>
      <w:pPr>
        <w:pStyle w:val="Heading2"/>
        <w:spacing w:after="140" w:before="260"/>
      </w:pPr>
      <w:r>
        <w:t xml:space="preserve">2.2 Team-Level Problems Encountered This Week</w:t>
      </w:r>
    </w:p>
    <w:p>
      <w:pPr>
        <w:spacing w:after="160"/>
      </w:pPr>
      <w:r>
        <w:t xml:space="preserve">In the course of starting this build, the team ran into three concrete problems, documented in full in Section 4:</w:t>
      </w:r>
    </w:p>
    <w:p>
      <w:pPr>
        <w:pStyle w:val="ListParagraph"/>
        <w:numPr>
          <w:ilvl w:val="0"/>
          <w:numId w:val="1"/>
        </w:numPr>
        <w:spacing w:after="90"/>
      </w:pPr>
      <w:r>
        <w:t xml:space="preserve">Ambiguity in the brief's own stated scope: the document's summary text refers to "43 entities," which does not match the actual per-module entity counts listed later in the same document.</w:t>
      </w:r>
    </w:p>
    <w:p>
      <w:pPr>
        <w:pStyle w:val="ListParagraph"/>
        <w:numPr>
          <w:ilvl w:val="0"/>
          <w:numId w:val="1"/>
        </w:numPr>
        <w:spacing w:after="90"/>
      </w:pPr>
      <w:r>
        <w:t xml:space="preserve">A networking incompatibility between the team's available internet connections and Supabase's free-tier direct database connection, which blocked the whole team from connecting for a portion of the week.</w:t>
      </w:r>
    </w:p>
    <w:p>
      <w:pPr>
        <w:pStyle w:val="ListParagraph"/>
        <w:numPr>
          <w:ilvl w:val="0"/>
          <w:numId w:val="1"/>
        </w:numPr>
        <w:spacing w:after="90"/>
      </w:pPr>
      <w:r>
        <w:t xml:space="preserve">An authentication failure once the networking issue was worked around, which stopped every team member except the one who set up the project from connecting at all.</w:t>
      </w:r>
    </w:p>
    <w:p>
      <w:pPr>
        <w:pStyle w:val="Heading1"/>
        <w:spacing w:after="180" w:before="360"/>
      </w:pPr>
      <w:r>
        <w:t xml:space="preserve">3. Objectives for Week 1</w:t>
      </w:r>
    </w:p>
    <w:p>
      <w:pPr>
        <w:pStyle w:val="ListParagraph"/>
        <w:numPr>
          <w:ilvl w:val="0"/>
          <w:numId w:val="1"/>
        </w:numPr>
        <w:spacing w:after="90"/>
      </w:pPr>
      <w:r>
        <w:t xml:space="preserve">Read and produce a team-authored summary of the full Project Concord brief (Parts I and II in particular, per Phase 1's instruction to understand the business before opening pgAdmin).</w:t>
      </w:r>
    </w:p>
    <w:p>
      <w:pPr>
        <w:pStyle w:val="ListParagraph"/>
        <w:numPr>
          <w:ilvl w:val="0"/>
          <w:numId w:val="1"/>
        </w:numPr>
        <w:spacing w:after="90"/>
      </w:pPr>
      <w:r>
        <w:t xml:space="preserve">Produce a reverse-engineered / conceptual ERD to give the whole team a shared, big-picture view of the Core Services Hub and five divisional modules before individual schema work began.</w:t>
      </w:r>
    </w:p>
    <w:p>
      <w:pPr>
        <w:pStyle w:val="ListParagraph"/>
        <w:numPr>
          <w:ilvl w:val="0"/>
          <w:numId w:val="1"/>
        </w:numPr>
        <w:spacing w:after="90"/>
      </w:pPr>
      <w:r>
        <w:t xml:space="preserve">Stand up a shared Supabase project so the team can collaborate against one live database rather than six disconnected local instances.</w:t>
      </w:r>
    </w:p>
    <w:p>
      <w:pPr>
        <w:pStyle w:val="ListParagraph"/>
        <w:numPr>
          <w:ilvl w:val="0"/>
          <w:numId w:val="1"/>
        </w:numPr>
        <w:spacing w:after="90"/>
      </w:pPr>
      <w:r>
        <w:t xml:space="preserve">Begin physical implementation of a first subset of tables as a proof of concept for the schema pattern, ahead of the full build in Weeks 2–3.</w:t>
      </w:r>
    </w:p>
    <w:p>
      <w:pPr>
        <w:pStyle w:val="Heading1"/>
        <w:spacing w:after="180" w:before="360"/>
      </w:pPr>
      <w:r>
        <w:t xml:space="preserve">4. Activities Completed This Week</w:t>
      </w:r>
    </w:p>
    <w:p>
      <w:pPr>
        <w:pStyle w:val="Heading2"/>
        <w:spacing w:after="140" w:before="260"/>
      </w:pPr>
      <w:r>
        <w:t xml:space="preserve">4.1 Requirements Document Review and Summary</w:t>
      </w:r>
    </w:p>
    <w:p>
      <w:pPr>
        <w:spacing w:after="160"/>
      </w:pPr>
      <w:r>
        <w:t xml:space="preserve">The full brief (50 pages) was read and summarised as a team, section by section, before any design work began — directly following the Chief Data and Technology Officer's own instruction in the brief's front matter that "the best schema I have ever seen come out of a project like this was designed by an engineer who spent her first week talking to people, not typing SQL." The summary covered the five divisional profiles, the four stakeholder scenarios (Ngozi, Chinedu, Funmi, Adaeze), the regulatory boundary around Veridian Financial Services, and the in-scope/out-of-scope boundary in Part III.</w:t>
      </w:r>
    </w:p>
    <w:p>
      <w:pPr>
        <w:pStyle w:val="Heading2"/>
        <w:spacing w:after="140" w:before="260"/>
      </w:pPr>
      <w:r>
        <w:t xml:space="preserve">4.2 Entity Relationship Diagram (Reverse-Engineered Model)</w:t>
      </w:r>
    </w:p>
    <w:p>
      <w:pPr>
        <w:spacing w:after="160"/>
      </w:pPr>
      <w:r>
        <w:t xml:space="preserve">To get the whole team aligned on the big-picture structure before splitting up module work, we generated a reverse-engineered ERD covering the Core Services Hub and all five divisional modules — entity boxes with primary/foreign key markers and crow's-foot relationship notation, rather than a plain list of table names. This gave every team member the same mental model of how AgriCore, Retail, Logistics, VFS, and Properties connect back through the shared hub, before anyone started writing individual CREATE TABLE statements.</w:t>
      </w:r>
    </w:p>
    <w:p>
      <w:pPr>
        <w:pStyle w:val="Heading2"/>
        <w:spacing w:after="140" w:before="260"/>
      </w:pPr>
      <w:r>
        <w:t xml:space="preserve">4.3 Supabase Team Collaboration Setup</w:t>
      </w:r>
    </w:p>
    <w:p>
      <w:pPr>
        <w:spacing w:after="160"/>
      </w:pPr>
      <w:r>
        <w:t xml:space="preserve">A shared Supabase project was created so all six members can connect to and query the same live PostgreSQL database, rather than working from separate local copies that would need to be manually reconciled later. This setup was not straightforward — see Section 4.4 and Section 5 for the connectivity issues encountered and how they were resolved.</w:t>
      </w:r>
    </w:p>
    <w:p>
      <w:pPr>
        <w:pStyle w:val="Heading2"/>
        <w:spacing w:after="140" w:before="260"/>
      </w:pPr>
      <w:r>
        <w:t xml:space="preserve">4.4 Initial Schema Implementation (Partial)</w:t>
      </w:r>
    </w:p>
    <w:p>
      <w:pPr>
        <w:spacing w:after="160"/>
      </w:pPr>
      <w:r>
        <w:t xml:space="preserve">A first subset of tables has been created directly on the shared Supabase project as a working proof of concept for the Core Hub + divisional module pattern, confirming the approach before the team commits to it across the full schema. This is intentionally incomplete at this stage — full implementation of all divisional modules, indexes, and Row Level Security policies is scoped across Weeks 2 and 3 of the plan, not Week 1, consistent with the phased delivery approach the brief itself specifies in response to the two earlier failed attempts.</w:t>
      </w:r>
    </w:p>
    <w:p>
      <w:pPr>
        <w:pStyle w:val="Heading1"/>
        <w:spacing w:after="180" w:before="360"/>
      </w:pPr>
      <w:r>
        <w:t xml:space="preserve">5. Challenges and Issues Encountered</w:t>
      </w:r>
    </w:p>
    <w:p>
      <w:pPr>
        <w:pStyle w:val="Heading2"/>
        <w:spacing w:after="140" w:before="260"/>
      </w:pPr>
      <w:r>
        <w:t xml:space="preserve">5.1 Ambiguity in Total Required Table Count</w:t>
      </w:r>
    </w:p>
    <w:p>
      <w:pPr>
        <w:spacing w:after="160"/>
      </w:pPr>
      <w:r>
        <w:t xml:space="preserve">The team spent time this week resolving confusion about exactly how many tables the schema needs. The brief's own summary text in Part V states the specification "describes 43 entities: 6 in the Core Services Hub and between 7 and 8 in each of the five divisional modules." When the team counted the entities actually listed in the per-module catalogues (Sections 5.2.1 through 5.2.5), the total came to 34 divisional entities plus 6 hub entities — 40, not 43. This caused some back-and-forth within the team about whether we were missing three tables somewhere in our reading of the brief.</w:t>
      </w:r>
    </w:p>
    <w:p>
      <w:pPr>
        <w:spacing w:after="160"/>
      </w:pPr>
      <w:r>
        <w:rPr>
          <w:b/>
          <w:bCs/>
        </w:rPr>
        <w:t xml:space="preserve">Resolution: </w:t>
      </w:r>
      <w:r>
        <w:t xml:space="preserve">The brief itself instructs the build team, in Section 1.5, to treat inconsistent figures as an error to flag rather than something to silently reconcile. We are proceeding against the literal, itemised entity list (40 tables) rather than guessing at three unspecified additional tables, and are flagging this discrepancy for our instructor/client-facing mentor as the brief instructs.</w:t>
      </w:r>
    </w:p>
    <w:p>
      <w:pPr>
        <w:pStyle w:val="Heading2"/>
        <w:spacing w:after="140" w:before="260"/>
      </w:pPr>
      <w:r>
        <w:t xml:space="preserve">5.2 IPv4 / IPv6 Connectivity Issue on Direct Connection</w:t>
      </w:r>
    </w:p>
    <w:p>
      <w:pPr>
        <w:spacing w:after="160"/>
      </w:pPr>
      <w:r>
        <w:t xml:space="preserve">The team's first attempt to connect to the shared Supabase project used the standard direct database connection string (port 5432, host db.[project-ref].supabase.co). This failed for every team member attempting to connect from a personal mobile hotspot. After investigation, we found the cause: Supabase's free-tier direct connection is only reachable over IPv6, and none of the team's available hotspot connections were providing a routable IPv6 address — only IPv4. We tested this across multiple different hotspots (different phones, different mobile networks) and got the same failure every time, which initially made us suspect a Supabase-side outage rather than a networking mismatch on our end.</w:t>
      </w:r>
    </w:p>
    <w:p>
      <w:pPr>
        <w:spacing w:after="160"/>
      </w:pPr>
      <w:r>
        <w:rPr>
          <w:b/>
          <w:bCs/>
        </w:rPr>
        <w:t xml:space="preserve">Resolution: </w:t>
      </w:r>
      <w:r>
        <w:t xml:space="preserve">Supabase provides an alternative connection method, the Session Pooler (Supavisor), which is IPv4-compatible and does not require the direct-connection IPv6 path. Switching every team member's connection string to the pooler endpoint resolved the connectivity failure immediately.</w:t>
      </w:r>
    </w:p>
    <w:p>
      <w:pPr>
        <w:pStyle w:val="Heading2"/>
        <w:spacing w:after="140" w:before="260"/>
      </w:pPr>
      <w:r>
        <w:t xml:space="preserve">5.3 Password Authentication Fatal Error on Pooler Connection</w:t>
      </w:r>
    </w:p>
    <w:p>
      <w:pPr>
        <w:spacing w:after="160"/>
      </w:pPr>
      <w:r>
        <w:t xml:space="preserve">After switching to the Session Pooler, a new problem appeared: every team member other than the person who originally created the Supabase project received a fatal password authentication error when attempting to connect, even using the correct project database password. Initial troubleshooting assumed the password itself was wrong or had been mistyped, but repeated, careful re-entry did not resolve it.</w:t>
      </w:r>
    </w:p>
    <w:p>
      <w:pPr>
        <w:spacing w:after="160"/>
      </w:pPr>
      <w:r>
        <w:rPr>
          <w:b/>
          <w:bCs/>
        </w:rPr>
        <w:t xml:space="preserve">Resolution: </w:t>
      </w:r>
      <w:r>
        <w:t xml:space="preserve">This was later fixed after we identified the actual cause and corrected it. The team is documenting the specific fix in our shared setup notes so it does not recur when any new member is added later in the project.</w:t>
      </w:r>
    </w:p>
    <w:p>
      <w:pPr>
        <w:pStyle w:val="Heading1"/>
        <w:spacing w:after="180" w:before="360"/>
      </w:pPr>
      <w:r>
        <w:t xml:space="preserve">6. Key Decisions Made This Week</w:t>
      </w:r>
    </w:p>
    <w:p>
      <w:pPr>
        <w:pStyle w:val="ListParagraph"/>
        <w:numPr>
          <w:ilvl w:val="0"/>
          <w:numId w:val="1"/>
        </w:numPr>
        <w:spacing w:after="90"/>
      </w:pPr>
      <w:r>
        <w:t xml:space="preserve">Proceed against the literal 40-table entity catalogue from Sections 5.2.1–5.2.5, not the brief's inconsistent "43 entities" summary figure, and flag the discrepancy rather than resolve it by guessing.</w:t>
      </w:r>
    </w:p>
    <w:p>
      <w:pPr>
        <w:pStyle w:val="ListParagraph"/>
        <w:numPr>
          <w:ilvl w:val="0"/>
          <w:numId w:val="1"/>
        </w:numPr>
        <w:spacing w:after="90"/>
      </w:pPr>
      <w:r>
        <w:t xml:space="preserve">Standardise the whole team on the Supabase Session Pooler connection string, not the direct connection, for all day-to-day work — direct connection remains an option only for anyone with a confirmed IPv6-capable network.</w:t>
      </w:r>
    </w:p>
    <w:p>
      <w:pPr>
        <w:pStyle w:val="ListParagraph"/>
        <w:numPr>
          <w:ilvl w:val="0"/>
          <w:numId w:val="1"/>
        </w:numPr>
        <w:spacing w:after="90"/>
      </w:pPr>
      <w:r>
        <w:t xml:space="preserve">Treat this week's table creation as a proof of concept only; the full schema build, indexing, and Row Level Security work is deliberately scheduled across Weeks 2–3 rather than rushed this week.</w:t>
      </w:r>
    </w:p>
    <w:p>
      <w:pPr>
        <w:pStyle w:val="Heading1"/>
        <w:spacing w:after="180" w:before="360"/>
      </w:pPr>
      <w:r>
        <w:t xml:space="preserve">7. Plan for Next Week (Week 2)</w:t>
      </w:r>
    </w:p>
    <w:p>
      <w:pPr>
        <w:pStyle w:val="ListParagraph"/>
        <w:numPr>
          <w:ilvl w:val="0"/>
          <w:numId w:val="1"/>
        </w:numPr>
        <w:spacing w:after="90"/>
      </w:pPr>
      <w:r>
        <w:t xml:space="preserve">Complete physical implementation of the remaining Core Hub and divisional module tables against the shared Supabase project.</w:t>
      </w:r>
    </w:p>
    <w:p>
      <w:pPr>
        <w:pStyle w:val="ListParagraph"/>
        <w:numPr>
          <w:ilvl w:val="0"/>
          <w:numId w:val="1"/>
        </w:numPr>
        <w:spacing w:after="90"/>
      </w:pPr>
      <w:r>
        <w:t xml:space="preserve">Begin Row Level Security policy design alongside the schema (not deferred to the end), per the brief's own risk register warning against retrofitting access control late.</w:t>
      </w:r>
    </w:p>
    <w:p>
      <w:pPr>
        <w:pStyle w:val="ListParagraph"/>
        <w:numPr>
          <w:ilvl w:val="0"/>
          <w:numId w:val="1"/>
        </w:numPr>
        <w:spacing w:after="90"/>
      </w:pPr>
      <w:r>
        <w:t xml:space="preserve">Begin synthetic data generation planning so data population does not become a Week 4 bottleneck.</w:t>
      </w:r>
    </w:p>
    <w:p>
      <w:pPr>
        <w:pStyle w:val="ListParagraph"/>
        <w:numPr>
          <w:ilvl w:val="0"/>
          <w:numId w:val="1"/>
        </w:numPr>
        <w:spacing w:after="90"/>
      </w:pPr>
      <w:r>
        <w:t xml:space="preserve">Confirm with our instructor/client-facing mentor how to handle the 43-vs-40 table count discrepancy flagged in Section 5.1.</w:t>
      </w:r>
    </w:p>
    <w:p>
      <w:pPr>
        <w:pStyle w:val="Heading1"/>
        <w:spacing w:after="180" w:before="360"/>
      </w:pPr>
      <w:r>
        <w:t xml:space="preserve">8. Risks and Watch 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6%"/>
            <w:shd w:fill="2C2C2A" w:val="clear"/>
            <w:vAlign w:val="center"/>
          </w:tcPr>
          <w:p>
            <w:r>
              <w:rPr>
                <w:b/>
                <w:bCs/>
                <w:color w:val="FFFFFF"/>
                <w:sz w:val="20"/>
                <w:szCs w:val="20"/>
              </w:rPr>
              <w:t xml:space="preserve">Risk</w:t>
            </w:r>
          </w:p>
        </w:tc>
        <w:tc>
          <w:tcPr>
            <w:tcW w:type="pct" w:w="18%"/>
            <w:shd w:fill="2C2C2A" w:val="clear"/>
            <w:vAlign w:val="center"/>
          </w:tcPr>
          <w:p>
            <w:r>
              <w:rPr>
                <w:b/>
                <w:bCs/>
                <w:color w:val="FFFFFF"/>
                <w:sz w:val="20"/>
                <w:szCs w:val="20"/>
              </w:rPr>
              <w:t xml:space="preserve">Likelihood</w:t>
            </w:r>
          </w:p>
        </w:tc>
        <w:tc>
          <w:tcPr>
            <w:tcW w:type="pct" w:w="36%"/>
            <w:shd w:fill="2C2C2A" w:val="clear"/>
            <w:vAlign w:val="center"/>
          </w:tcPr>
          <w:p>
            <w:r>
              <w:rPr>
                <w:b/>
                <w:bCs/>
                <w:color w:val="FFFFFF"/>
                <w:sz w:val="20"/>
                <w:szCs w:val="20"/>
              </w:rPr>
              <w:t xml:space="preserve">Mitigation</w:t>
            </w:r>
          </w:p>
        </w:tc>
      </w:tr>
      <w:tr>
        <w:tc>
          <w:tcPr>
            <w:tcW w:type="pct" w:w="46%"/>
            <w:vAlign w:val="center"/>
          </w:tcPr>
          <w:p>
            <w:r>
              <w:rPr>
                <w:b w:val="false"/>
                <w:bCs w:val="false"/>
                <w:sz w:val="20"/>
                <w:szCs w:val="20"/>
              </w:rPr>
              <w:t xml:space="preserve">Team members intermittently unable to connect if mobile networks change IP allocation again</w:t>
            </w:r>
          </w:p>
        </w:tc>
        <w:tc>
          <w:tcPr>
            <w:tcW w:type="pct" w:w="18%"/>
            <w:vAlign w:val="center"/>
          </w:tcPr>
          <w:p>
            <w:r>
              <w:rPr>
                <w:b w:val="false"/>
                <w:bCs w:val="false"/>
                <w:sz w:val="20"/>
                <w:szCs w:val="20"/>
              </w:rPr>
              <w:t xml:space="preserve">Medium</w:t>
            </w:r>
          </w:p>
        </w:tc>
        <w:tc>
          <w:tcPr>
            <w:tcW w:type="pct" w:w="36%"/>
            <w:vAlign w:val="center"/>
          </w:tcPr>
          <w:p>
            <w:r>
              <w:rPr>
                <w:b w:val="false"/>
                <w:bCs w:val="false"/>
                <w:sz w:val="20"/>
                <w:szCs w:val="20"/>
              </w:rPr>
              <w:t xml:space="preserve">Pooler connection confirmed IPv4-stable across all tested hotspots this week; direct connection no longer used as the default.</w:t>
            </w:r>
          </w:p>
        </w:tc>
      </w:tr>
      <w:tr>
        <w:tc>
          <w:tcPr>
            <w:tcW w:type="pct" w:w="46%"/>
            <w:vAlign w:val="center"/>
          </w:tcPr>
          <w:p>
            <w:r>
              <w:rPr>
                <w:b w:val="false"/>
                <w:bCs w:val="false"/>
                <w:sz w:val="20"/>
                <w:szCs w:val="20"/>
              </w:rPr>
              <w:t xml:space="preserve">Schema rework needed if the 43-vs-40 table question is resolved differently by our mentor</w:t>
            </w:r>
          </w:p>
        </w:tc>
        <w:tc>
          <w:tcPr>
            <w:tcW w:type="pct" w:w="18%"/>
            <w:vAlign w:val="center"/>
          </w:tcPr>
          <w:p>
            <w:r>
              <w:rPr>
                <w:b w:val="false"/>
                <w:bCs w:val="false"/>
                <w:sz w:val="20"/>
                <w:szCs w:val="20"/>
              </w:rPr>
              <w:t xml:space="preserve">Low</w:t>
            </w:r>
          </w:p>
        </w:tc>
        <w:tc>
          <w:tcPr>
            <w:tcW w:type="pct" w:w="36%"/>
            <w:vAlign w:val="center"/>
          </w:tcPr>
          <w:p>
            <w:r>
              <w:rPr>
                <w:b w:val="false"/>
                <w:bCs w:val="false"/>
                <w:sz w:val="20"/>
                <w:szCs w:val="20"/>
              </w:rPr>
              <w:t xml:space="preserve">Current 40-table design follows the brief's own itemised catalogue exactly, minimising rework risk either way.</w:t>
            </w:r>
          </w:p>
        </w:tc>
      </w:tr>
      <w:tr>
        <w:tc>
          <w:tcPr>
            <w:tcW w:type="pct" w:w="46%"/>
            <w:vAlign w:val="center"/>
          </w:tcPr>
          <w:p>
            <w:r>
              <w:rPr>
                <w:b w:val="false"/>
                <w:bCs w:val="false"/>
                <w:sz w:val="20"/>
                <w:szCs w:val="20"/>
              </w:rPr>
              <w:t xml:space="preserve">Table creation pace needs to accelerate to stay on the 8-week plan</w:t>
            </w:r>
          </w:p>
        </w:tc>
        <w:tc>
          <w:tcPr>
            <w:tcW w:type="pct" w:w="18%"/>
            <w:vAlign w:val="center"/>
          </w:tcPr>
          <w:p>
            <w:r>
              <w:rPr>
                <w:b w:val="false"/>
                <w:bCs w:val="false"/>
                <w:sz w:val="20"/>
                <w:szCs w:val="20"/>
              </w:rPr>
              <w:t xml:space="preserve">Medium</w:t>
            </w:r>
          </w:p>
        </w:tc>
        <w:tc>
          <w:tcPr>
            <w:tcW w:type="pct" w:w="36%"/>
            <w:vAlign w:val="center"/>
          </w:tcPr>
          <w:p>
            <w:r>
              <w:rPr>
                <w:b w:val="false"/>
                <w:bCs w:val="false"/>
                <w:sz w:val="20"/>
                <w:szCs w:val="20"/>
              </w:rPr>
              <w:t xml:space="preserve">Week 2 explicitly scoped for full schema completion; Week 1 was deliberately scoped as setup + proof of concept only.</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2026-07-22T06:51:09.462Z</dcterms:created>
  <dcterms:modified xsi:type="dcterms:W3CDTF">2026-07-22T06:51:09.472Z</dcterms:modified>
</cp:coreProperties>
</file>

<file path=docProps/custom.xml><?xml version="1.0" encoding="utf-8"?>
<Properties xmlns="http://schemas.openxmlformats.org/officeDocument/2006/custom-properties" xmlns:vt="http://schemas.openxmlformats.org/officeDocument/2006/docPropsVTypes"/>
</file>