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1C2B4A"/>
          <w:sz w:val="48"/>
          <w:szCs w:val="48"/>
        </w:rPr>
        <w:t xml:space="preserve">THE CONCORD SIX</w:t>
      </w:r>
    </w:p>
    <w:p>
      <w:pPr>
        <w:spacing w:after="400" w:before="120"/>
        <w:jc w:val="center"/>
      </w:pPr>
      <w:r>
        <w:rPr>
          <w:color w:val="5B3A7A"/>
          <w:sz w:val="28"/>
          <w:szCs w:val="28"/>
        </w:rPr>
        <w:t xml:space="preserve">Weekly Progress Report — Week 2</w:t>
      </w:r>
    </w:p>
    <w:p>
      <w:pPr>
        <w:jc w:val="center"/>
      </w:pPr>
      <w:r>
        <w:rPr>
          <w:sz w:val="22"/>
          <w:szCs w:val="22"/>
        </w:rPr>
        <w:t xml:space="preserve">Project: Project Concord — Veridian Unified Data Platform</w:t>
      </w:r>
    </w:p>
    <w:p>
      <w:pPr>
        <w:spacing w:after="20"/>
        <w:jc w:val="center"/>
      </w:pPr>
      <w:r>
        <w:rPr>
          <w:i/>
          <w:iCs/>
          <w:sz w:val="20"/>
          <w:szCs w:val="20"/>
        </w:rPr>
        <w:t xml:space="preserve">Reference: VCH-PC-2026-01</w:t>
      </w:r>
    </w:p>
    <w:p>
      <w:pPr>
        <w:spacing w:after="400"/>
        <w:jc w:val="center"/>
      </w:pPr>
      <w:r>
        <w:rPr>
          <w:sz w:val="20"/>
          <w:szCs w:val="20"/>
        </w:rPr>
        <w:t xml:space="preserve">Reporting Period: Week 2 of the engagement — Phase 2 (Conceptual and Logical Design)</w:t>
      </w:r>
    </w:p>
    <w:p>
      <w:pPr>
        <w:jc w:val="center"/>
      </w:pPr>
      <w:r>
        <w:rPr>
          <w:b/>
          <w:bCs/>
          <w:sz w:val="22"/>
          <w:szCs w:val="22"/>
        </w:rPr>
        <w:t xml:space="preserve">Team Members and Roles</w:t>
      </w:r>
    </w:p>
    <w:p>
      <w:pPr>
        <w:spacing w:after="40"/>
        <w:jc w:val="center"/>
      </w:pPr>
      <w:r>
        <w:rPr>
          <w:sz w:val="20"/>
          <w:szCs w:val="20"/>
        </w:rPr>
        <w:t xml:space="preserve">Fiberesima Ibidabo Joshua — Team Lead &amp; Database Architect</w:t>
      </w:r>
    </w:p>
    <w:p>
      <w:pPr>
        <w:spacing w:after="40"/>
        <w:jc w:val="center"/>
      </w:pPr>
      <w:r>
        <w:rPr>
          <w:sz w:val="20"/>
          <w:szCs w:val="20"/>
        </w:rPr>
        <w:t xml:space="preserve">Godsfavour James — Database Engineer (Retail &amp; Logistics)</w:t>
      </w:r>
    </w:p>
    <w:p>
      <w:pPr>
        <w:spacing w:after="40"/>
        <w:jc w:val="center"/>
      </w:pPr>
      <w:r>
        <w:rPr>
          <w:sz w:val="20"/>
          <w:szCs w:val="20"/>
        </w:rPr>
        <w:t xml:space="preserve">Victor Umanah — Database Engineer (Financial Services &amp; AgriCore)</w:t>
      </w:r>
    </w:p>
    <w:p>
      <w:pPr>
        <w:spacing w:after="40"/>
        <w:jc w:val="center"/>
      </w:pPr>
      <w:r>
        <w:rPr>
          <w:sz w:val="20"/>
          <w:szCs w:val="20"/>
        </w:rPr>
        <w:t xml:space="preserve">Ola Aulewon — Database Engineer (Properties)</w:t>
      </w:r>
    </w:p>
    <w:p>
      <w:pPr>
        <w:spacing w:after="40"/>
        <w:jc w:val="center"/>
      </w:pPr>
      <w:r>
        <w:rPr>
          <w:sz w:val="20"/>
          <w:szCs w:val="20"/>
        </w:rPr>
        <w:t xml:space="preserve">Kamsy Krystal — Documentation &amp; QA Lead</w:t>
      </w:r>
    </w:p>
    <w:p>
      <w:pPr>
        <w:spacing w:after="40"/>
        <w:jc w:val="center"/>
      </w:pPr>
      <w:r>
        <w:rPr>
          <w:sz w:val="20"/>
          <w:szCs w:val="20"/>
        </w:rPr>
        <w:t xml:space="preserve">Kachi — Business Analyst &amp; Requirements Lead</w:t>
      </w:r>
    </w:p>
    <w:p>
      <w:r>
        <w:br w:type="page"/>
      </w:r>
    </w:p>
    <w:p>
      <w:pPr>
        <w:pStyle w:val="Heading1"/>
        <w:spacing w:after="180" w:before="360"/>
      </w:pPr>
      <w:r>
        <w:t xml:space="preserve">1. Executive Summary</w:t>
      </w:r>
    </w:p>
    <w:p>
      <w:pPr>
        <w:spacing w:after="160"/>
      </w:pPr>
      <w:r>
        <w:t xml:space="preserve">This is the Week 2 status report for The Concord Six's build of Project Concord. Following Week 1's business immersion and infrastructure setup, this week's focus was Phase 2: conceptual and logical design. The team produced a Level-1 conceptual entity relationship diagram and Level-2 logical designs for every divisional module, a complete data dictionary covering all 40 tables, a written normalisation justification, and began Row Level Security design alongside the schema — deliberately not deferred to a later phase, per the brief's own risk register warning against retrofitting access control late.</w:t>
      </w:r>
    </w:p>
    <w:p>
      <w:pPr>
        <w:spacing w:after="160"/>
      </w:pPr>
      <w:r>
        <w:rPr>
          <w:b/>
          <w:bCs/>
        </w:rPr>
        <w:t xml:space="preserve">Overall status: </w:t>
      </w:r>
      <w:r>
        <w:t xml:space="preserve">Phase 2 deliverables are complete. Two design inconsistencies were identified and resolved this week (Section 4). The team is ready to begin Phase 3 physical implementation.</w:t>
      </w:r>
    </w:p>
    <w:p>
      <w:pPr>
        <w:pStyle w:val="Heading1"/>
        <w:spacing w:after="180" w:before="360"/>
      </w:pPr>
      <w:r>
        <w:t xml:space="preserve">2. Objectives for Week 2</w:t>
      </w:r>
    </w:p>
    <w:p>
      <w:pPr>
        <w:pStyle w:val="ListParagraph"/>
        <w:numPr>
          <w:ilvl w:val="0"/>
          <w:numId w:val="1"/>
        </w:numPr>
        <w:spacing w:after="90"/>
      </w:pPr>
      <w:r>
        <w:t xml:space="preserve">Produce a Level-1 conceptual ERD showing the Core Services Hub and all five divisional modules, and Level-2 logical diagrams per module.</w:t>
      </w:r>
    </w:p>
    <w:p>
      <w:pPr>
        <w:pStyle w:val="ListParagraph"/>
        <w:numPr>
          <w:ilvl w:val="0"/>
          <w:numId w:val="1"/>
        </w:numPr>
        <w:spacing w:after="90"/>
      </w:pPr>
      <w:r>
        <w:t xml:space="preserve">Produce a complete data dictionary covering every entity and attribute across all 40 tables.</w:t>
      </w:r>
    </w:p>
    <w:p>
      <w:pPr>
        <w:pStyle w:val="ListParagraph"/>
        <w:numPr>
          <w:ilvl w:val="0"/>
          <w:numId w:val="1"/>
        </w:numPr>
        <w:spacing w:after="90"/>
      </w:pPr>
      <w:r>
        <w:t xml:space="preserve">Document normalisation reasoning toward Third Normal Form for at least two non-trivial entities, and justify any deliberate denormalisation.</w:t>
      </w:r>
    </w:p>
    <w:p>
      <w:pPr>
        <w:pStyle w:val="ListParagraph"/>
        <w:numPr>
          <w:ilvl w:val="0"/>
          <w:numId w:val="1"/>
        </w:numPr>
        <w:spacing w:after="90"/>
      </w:pPr>
      <w:r>
        <w:t xml:space="preserve">Begin Row Level Security policy design alongside the schema, assigning divisional ownership ahead of Phase 3.</w:t>
      </w:r>
    </w:p>
    <w:p>
      <w:pPr>
        <w:pStyle w:val="Heading1"/>
        <w:spacing w:after="180" w:before="360"/>
      </w:pPr>
      <w:r>
        <w:t xml:space="preserve">3. Activities Completed This Week, by Team Member</w:t>
      </w:r>
    </w:p>
    <w:p>
      <w:pPr>
        <w:spacing w:after="160"/>
      </w:pPr>
      <w:r>
        <w:t xml:space="preserve">Each divisional module was assigned a named owner this week, both for design accountability now and to carry directly into who physically builds that module in Phase 3.</w:t>
      </w:r>
    </w:p>
    <w:p>
      <w:pPr>
        <w:pStyle w:val="Heading2"/>
        <w:spacing w:after="140" w:before="260"/>
      </w:pPr>
      <w:r>
        <w:t xml:space="preserve">3.1 Fiberesima Ibidabo Joshua — Team Lead &amp; Database Architect</w:t>
      </w:r>
    </w:p>
    <w:p>
      <w:pPr>
        <w:spacing w:after="160"/>
      </w:pPr>
      <w:r>
        <w:t xml:space="preserve">Led design of the Core Services Hub — the six shared entities (customers, employees, suppliers, locations, products, financial account references) that every divisional module connects back to. Led design of the six-role Row Level Security model and the consent-flag mechanism required by Section 4.4 of the brief. Reviewed and reconciled each team member's divisional logical design against the Hub to prevent duplicated identity concepts (e.g. confirming no divisional module tried to store its own copy of customer or product data instead of referencing the Hub). Chaired the team's design review session.</w:t>
      </w:r>
    </w:p>
    <w:p>
      <w:pPr>
        <w:pStyle w:val="Heading2"/>
        <w:spacing w:after="140" w:before="260"/>
      </w:pPr>
      <w:r>
        <w:t xml:space="preserve">3.2 Godsfavour James — Meridian Retail and Concord Logistics</w:t>
      </w:r>
    </w:p>
    <w:p>
      <w:pPr>
        <w:spacing w:after="160"/>
      </w:pPr>
      <w:r>
        <w:t xml:space="preserve">Produced the logical design for the Meridian Retail module (stores, POS transactions, line items, stock levels, promotions, loyalty accounts, supplier deliveries) and the Concord Logistics module (vehicles, drivers, shipments, shipment legs, routes, warehouses, maintenance logs) — 14 entities across both. Cross-checked every attribute against Sections 5.2.1 and 5.2.2 of the brief.</w:t>
      </w:r>
    </w:p>
    <w:p>
      <w:pPr>
        <w:pStyle w:val="Heading2"/>
        <w:spacing w:after="140" w:before="260"/>
      </w:pPr>
      <w:r>
        <w:t xml:space="preserve">3.3 Victor Umanah — Veridian Financial Services and AgriCore</w:t>
      </w:r>
    </w:p>
    <w:p>
      <w:pPr>
        <w:spacing w:after="160"/>
      </w:pPr>
      <w:r>
        <w:t xml:space="preserve">Produced the logical design for Veridian Financial Services (wallet accounts, wallet transactions, loans, loan repayments, KYC records, merchant settlements) and AgriCore (farms, farmers, harvest batches, processing runs, quality grades, wholesale shipments, farmer loans reference) — 13 entities across both. Worked through the farmer/supplier duality specified in Section 5.3 (a supplier may correspond to at most one farmer profile) and the consent-gated bridge back to VFS needed for Scenario 2 (Chinedu's credit assessment).</w:t>
      </w:r>
    </w:p>
    <w:p>
      <w:pPr>
        <w:pStyle w:val="Heading2"/>
        <w:spacing w:after="140" w:before="260"/>
      </w:pPr>
      <w:r>
        <w:t xml:space="preserve">3.4 Ola Aulewon — Veridian Properties</w:t>
      </w:r>
    </w:p>
    <w:p>
      <w:pPr>
        <w:spacing w:after="160"/>
      </w:pPr>
      <w:r>
        <w:t xml:space="preserve">Produced the logical design for the Veridian Properties module (properties, leases, tenants, maintenance requests, valuations, utility accounts, facility assets) — 7 entities. Worked through the cardinality rule that a tenant may hold at most one currently-active lease, and designed the cross-module foreign key linking Concord Logistics' warehouses back to a specific leased property — the structural design behind resolving Scenario 3 (Funmi's warehouse).</w:t>
      </w:r>
    </w:p>
    <w:p>
      <w:pPr>
        <w:pStyle w:val="Heading2"/>
        <w:spacing w:after="140" w:before="260"/>
      </w:pPr>
      <w:r>
        <w:t xml:space="preserve">3.5 Kamsy Krystal — Documentation and QA</w:t>
      </w:r>
    </w:p>
    <w:p>
      <w:pPr>
        <w:spacing w:after="160"/>
      </w:pPr>
      <w:r>
        <w:t xml:space="preserve">Compiled the complete data dictionary across all 40 tables — every attribute, its type, and its constraints — by consolidating the four divisional designs plus the Hub design into one consistent document. Produced the reverse-engineered Level-1 conceptual ERD tying all five module designs back to the shared Hub, giving the whole team one diagram to check their individual work against.</w:t>
      </w:r>
    </w:p>
    <w:p>
      <w:pPr>
        <w:pStyle w:val="Heading2"/>
        <w:spacing w:after="140" w:before="260"/>
      </w:pPr>
      <w:r>
        <w:t xml:space="preserve">3.6 Kachi — Business Analyst and Requirements</w:t>
      </w:r>
    </w:p>
    <w:p>
      <w:pPr>
        <w:spacing w:after="160"/>
      </w:pPr>
      <w:r>
        <w:t xml:space="preserve">Authored the normalisation reasoning write-up, including two full worked examples showing how the design was reasoned toward Third Normal Form. Cross-checked every entity in the team's design against the brief's own Section 5.2 catalogues line by line, and identified two inconsistencies in the brief itself for team review (Section 4 below) rather than letting them pass through unnoticed into the physical build.</w:t>
      </w:r>
    </w:p>
    <w:p>
      <w:pPr>
        <w:pStyle w:val="Heading1"/>
        <w:spacing w:after="180" w:before="360"/>
      </w:pPr>
      <w:r>
        <w:t xml:space="preserve">4. Design Issues Identified This Week</w:t>
      </w:r>
    </w:p>
    <w:p>
      <w:pPr>
        <w:pStyle w:val="Heading2"/>
        <w:spacing w:after="140" w:before="260"/>
      </w:pPr>
      <w:r>
        <w:t xml:space="preserve">4.1 Entity Count Discrepancy (43 vs 40)</w:t>
      </w:r>
    </w:p>
    <w:p>
      <w:pPr>
        <w:spacing w:after="160"/>
      </w:pPr>
      <w:r>
        <w:t xml:space="preserve">Kachi's line-by-line check found that the brief's own summary text claims "43 entities," but the itemised catalogues in Sections 5.2.1 through 5.2.5 sum to only 40 (6 Hub + 34 divisional). Per Section 1.5 of the brief, which instructs the build team to flag such inconsistencies rather than silently reconcile them, the team is proceeding against the literal 40-table catalogue.</w:t>
      </w:r>
    </w:p>
    <w:p>
      <w:pPr>
        <w:pStyle w:val="Heading2"/>
        <w:spacing w:after="140" w:before="260"/>
      </w:pPr>
      <w:r>
        <w:t xml:space="preserve">4.2 Missing Attribute Needed for a Stated Business Rule</w:t>
      </w:r>
    </w:p>
    <w:p>
      <w:pPr>
        <w:spacing w:after="160"/>
      </w:pPr>
      <w:r>
        <w:t xml:space="preserve">Godsfavour and Kamsy identified that Section 5.2.1's attribute list for Loyalty Accounts does not include a store-format column, but Section 5.3's cardinality rule ("at most one loyalty account per retail store format") cannot be enforced without one. The team resolved this by adding the column — it is a structural necessity for a rule the brief itself states, not a scope addition.</w:t>
      </w:r>
    </w:p>
    <w:p>
      <w:pPr>
        <w:pStyle w:val="Heading1"/>
        <w:spacing w:after="180" w:before="360"/>
      </w:pPr>
      <w:r>
        <w:t xml:space="preserve">5. Key Decisions Made This Week</w:t>
      </w:r>
    </w:p>
    <w:p>
      <w:pPr>
        <w:pStyle w:val="ListParagraph"/>
        <w:numPr>
          <w:ilvl w:val="0"/>
          <w:numId w:val="1"/>
        </w:numPr>
        <w:spacing w:after="90"/>
      </w:pPr>
      <w:r>
        <w:t xml:space="preserve">Every divisional module now has one named owner, carrying directly into Phase 3 build responsibility — Godsfavour (Retail, Logistics), Victor (VFS, AgriCore), Ola (Properties), Joshua (Hub, security).</w:t>
      </w:r>
    </w:p>
    <w:p>
      <w:pPr>
        <w:pStyle w:val="ListParagraph"/>
        <w:numPr>
          <w:ilvl w:val="0"/>
          <w:numId w:val="1"/>
        </w:numPr>
        <w:spacing w:after="90"/>
      </w:pPr>
      <w:r>
        <w:t xml:space="preserve">Row Level Security design begins now, in parallel with the remaining schema work, rather than being deferred until after tables are built.</w:t>
      </w:r>
    </w:p>
    <w:p>
      <w:pPr>
        <w:pStyle w:val="ListParagraph"/>
        <w:numPr>
          <w:ilvl w:val="0"/>
          <w:numId w:val="1"/>
        </w:numPr>
        <w:spacing w:after="90"/>
      </w:pPr>
      <w:r>
        <w:t xml:space="preserve">Proceed against the literal 40-table entity catalogue, with the discrepancy formally flagged for our instructor/client-facing mentor.</w:t>
      </w:r>
    </w:p>
    <w:p>
      <w:pPr>
        <w:pStyle w:val="Heading1"/>
        <w:spacing w:after="180" w:before="360"/>
      </w:pPr>
      <w:r>
        <w:t xml:space="preserve">6. Plan for Next Week (Week 3 — Phase 3)</w:t>
      </w:r>
    </w:p>
    <w:p>
      <w:pPr>
        <w:pStyle w:val="ListParagraph"/>
        <w:numPr>
          <w:ilvl w:val="0"/>
          <w:numId w:val="1"/>
        </w:numPr>
        <w:spacing w:after="90"/>
      </w:pPr>
      <w:r>
        <w:t xml:space="preserve">Each module owner physically implements their assigned tables on the shared Supabase project.</w:t>
      </w:r>
    </w:p>
    <w:p>
      <w:pPr>
        <w:pStyle w:val="ListParagraph"/>
        <w:numPr>
          <w:ilvl w:val="0"/>
          <w:numId w:val="1"/>
        </w:numPr>
        <w:spacing w:after="90"/>
      </w:pPr>
      <w:r>
        <w:t xml:space="preserve">Joshua merges all four contributions into one consolidated schema and deploys Row Level Security policies.</w:t>
      </w:r>
    </w:p>
    <w:p>
      <w:pPr>
        <w:pStyle w:val="ListParagraph"/>
        <w:numPr>
          <w:ilvl w:val="0"/>
          <w:numId w:val="1"/>
        </w:numPr>
        <w:spacing w:after="90"/>
      </w:pPr>
      <w:r>
        <w:t xml:space="preserve">Run a small proof-of-concept data load to confirm every foreign key, constraint, and policy works correctly before committing to full data volumes.</w:t>
      </w:r>
    </w:p>
    <w:p>
      <w:pPr>
        <w:pStyle w:val="ListParagraph"/>
        <w:numPr>
          <w:ilvl w:val="0"/>
          <w:numId w:val="1"/>
        </w:numPr>
        <w:spacing w:after="90"/>
      </w:pPr>
      <w:r>
        <w:t xml:space="preserve">Kachi begins researching Google Cloud / BigQuery setup requirements ahead of the ELT pipeline work later in Phase 3.</w:t>
      </w:r>
    </w:p>
    <w:p>
      <w:pPr>
        <w:pStyle w:val="Heading1"/>
        <w:spacing w:after="180" w:before="360"/>
      </w:pPr>
      <w:r>
        <w:t xml:space="preserve">7. Risks and Watch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2C2C2A" w:val="clear"/>
            <w:vAlign w:val="center"/>
          </w:tcPr>
          <w:p>
            <w:r>
              <w:rPr>
                <w:b/>
                <w:bCs/>
                <w:color w:val="FFFFFF"/>
                <w:sz w:val="20"/>
                <w:szCs w:val="20"/>
              </w:rPr>
              <w:t xml:space="preserve">Risk</w:t>
            </w:r>
          </w:p>
        </w:tc>
        <w:tc>
          <w:tcPr>
            <w:tcW w:type="pct" w:w="16%"/>
            <w:shd w:fill="2C2C2A" w:val="clear"/>
            <w:vAlign w:val="center"/>
          </w:tcPr>
          <w:p>
            <w:r>
              <w:rPr>
                <w:b/>
                <w:bCs/>
                <w:color w:val="FFFFFF"/>
                <w:sz w:val="20"/>
                <w:szCs w:val="20"/>
              </w:rPr>
              <w:t xml:space="preserve">Likelihood</w:t>
            </w:r>
          </w:p>
        </w:tc>
        <w:tc>
          <w:tcPr>
            <w:tcW w:type="pct" w:w="42%"/>
            <w:shd w:fill="2C2C2A" w:val="clear"/>
            <w:vAlign w:val="center"/>
          </w:tcPr>
          <w:p>
            <w:r>
              <w:rPr>
                <w:b/>
                <w:bCs/>
                <w:color w:val="FFFFFF"/>
                <w:sz w:val="20"/>
                <w:szCs w:val="20"/>
              </w:rPr>
              <w:t xml:space="preserve">Mitigation</w:t>
            </w:r>
          </w:p>
        </w:tc>
      </w:tr>
      <w:tr>
        <w:tc>
          <w:tcPr>
            <w:tcW w:type="pct" w:w="42%"/>
            <w:vAlign w:val="center"/>
          </w:tcPr>
          <w:p>
            <w:r>
              <w:rPr>
                <w:b w:val="false"/>
                <w:bCs w:val="false"/>
                <w:sz w:val="20"/>
                <w:szCs w:val="20"/>
              </w:rPr>
              <w:t xml:space="preserve">Four separately-designed modules merge with naming or FK inconsistencies</w:t>
            </w:r>
          </w:p>
        </w:tc>
        <w:tc>
          <w:tcPr>
            <w:tcW w:type="pct" w:w="16%"/>
            <w:vAlign w:val="center"/>
          </w:tcPr>
          <w:p>
            <w:r>
              <w:rPr>
                <w:b w:val="false"/>
                <w:bCs w:val="false"/>
                <w:sz w:val="20"/>
                <w:szCs w:val="20"/>
              </w:rPr>
              <w:t xml:space="preserve">Medium</w:t>
            </w:r>
          </w:p>
        </w:tc>
        <w:tc>
          <w:tcPr>
            <w:tcW w:type="pct" w:w="42%"/>
            <w:vAlign w:val="center"/>
          </w:tcPr>
          <w:p>
            <w:r>
              <w:rPr>
                <w:b w:val="false"/>
                <w:bCs w:val="false"/>
                <w:sz w:val="20"/>
                <w:szCs w:val="20"/>
              </w:rPr>
              <w:t xml:space="preserve">Joshua's Hub-alignment review this week checked every module against the shared Hub before sign-off.</w:t>
            </w:r>
          </w:p>
        </w:tc>
      </w:tr>
      <w:tr>
        <w:tc>
          <w:tcPr>
            <w:tcW w:type="pct" w:w="42%"/>
            <w:vAlign w:val="center"/>
          </w:tcPr>
          <w:p>
            <w:r>
              <w:rPr>
                <w:b w:val="false"/>
                <w:bCs w:val="false"/>
                <w:sz w:val="20"/>
                <w:szCs w:val="20"/>
              </w:rPr>
              <w:t xml:space="preserve">Team disagreement on how to handle the 43-vs-40 discrepancy if challenged later</w:t>
            </w:r>
          </w:p>
        </w:tc>
        <w:tc>
          <w:tcPr>
            <w:tcW w:type="pct" w:w="16%"/>
            <w:vAlign w:val="center"/>
          </w:tcPr>
          <w:p>
            <w:r>
              <w:rPr>
                <w:b w:val="false"/>
                <w:bCs w:val="false"/>
                <w:sz w:val="20"/>
                <w:szCs w:val="20"/>
              </w:rPr>
              <w:t xml:space="preserve">Low</w:t>
            </w:r>
          </w:p>
        </w:tc>
        <w:tc>
          <w:tcPr>
            <w:tcW w:type="pct" w:w="42%"/>
            <w:vAlign w:val="center"/>
          </w:tcPr>
          <w:p>
            <w:r>
              <w:rPr>
                <w:b w:val="false"/>
                <w:bCs w:val="false"/>
                <w:sz w:val="20"/>
                <w:szCs w:val="20"/>
              </w:rPr>
              <w:t xml:space="preserve">Documented rationale (Section 4.1) ready to present; follows the brief's own Section 1.5 instruction.</w:t>
            </w:r>
          </w:p>
        </w:tc>
      </w:tr>
      <w:tr>
        <w:tc>
          <w:tcPr>
            <w:tcW w:type="pct" w:w="42%"/>
            <w:vAlign w:val="center"/>
          </w:tcPr>
          <w:p>
            <w:r>
              <w:rPr>
                <w:b w:val="false"/>
                <w:bCs w:val="false"/>
                <w:sz w:val="20"/>
                <w:szCs w:val="20"/>
              </w:rPr>
              <w:t xml:space="preserve">RLS design running in parallel with schema work causes rework if either changes</w:t>
            </w:r>
          </w:p>
        </w:tc>
        <w:tc>
          <w:tcPr>
            <w:tcW w:type="pct" w:w="16%"/>
            <w:vAlign w:val="center"/>
          </w:tcPr>
          <w:p>
            <w:r>
              <w:rPr>
                <w:b w:val="false"/>
                <w:bCs w:val="false"/>
                <w:sz w:val="20"/>
                <w:szCs w:val="20"/>
              </w:rPr>
              <w:t xml:space="preserve">Medium</w:t>
            </w:r>
          </w:p>
        </w:tc>
        <w:tc>
          <w:tcPr>
            <w:tcW w:type="pct" w:w="42%"/>
            <w:vAlign w:val="center"/>
          </w:tcPr>
          <w:p>
            <w:r>
              <w:rPr>
                <w:b w:val="false"/>
                <w:bCs w:val="false"/>
                <w:sz w:val="20"/>
                <w:szCs w:val="20"/>
              </w:rPr>
              <w:t xml:space="preserve">Joshua leading both areas directly to keep them synchronised, rather than two disconnected workstreams.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2026-08-10T06:22:55.413Z</dcterms:created>
  <dcterms:modified xsi:type="dcterms:W3CDTF">2026-08-10T06:22:55.429Z</dcterms:modified>
</cp:coreProperties>
</file>

<file path=docProps/custom.xml><?xml version="1.0" encoding="utf-8"?>
<Properties xmlns="http://schemas.openxmlformats.org/officeDocument/2006/custom-properties" xmlns:vt="http://schemas.openxmlformats.org/officeDocument/2006/docPropsVTypes"/>
</file>