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C2B4A"/>
          <w:sz w:val="48"/>
          <w:szCs w:val="48"/>
        </w:rPr>
        <w:t xml:space="preserve">THE CONCORD SIX</w:t>
      </w:r>
    </w:p>
    <w:p>
      <w:pPr>
        <w:spacing w:after="400" w:before="120"/>
        <w:jc w:val="center"/>
      </w:pPr>
      <w:r>
        <w:rPr>
          <w:color w:val="5B3A7A"/>
          <w:sz w:val="28"/>
          <w:szCs w:val="28"/>
        </w:rPr>
        <w:t xml:space="preserve">Weekly Progress Report — Week 3</w:t>
      </w:r>
    </w:p>
    <w:p>
      <w:pPr>
        <w:jc w:val="center"/>
      </w:pPr>
      <w:r>
        <w:rPr>
          <w:sz w:val="22"/>
          <w:szCs w:val="22"/>
        </w:rPr>
        <w:t xml:space="preserve">Project: Project Concord — Veridian Unified Data Platform</w:t>
      </w:r>
    </w:p>
    <w:p>
      <w:pPr>
        <w:spacing w:after="20"/>
        <w:jc w:val="center"/>
      </w:pPr>
      <w:r>
        <w:rPr>
          <w:i/>
          <w:iCs/>
          <w:sz w:val="20"/>
          <w:szCs w:val="20"/>
        </w:rPr>
        <w:t xml:space="preserve">Reference: VCH-PC-2026-01</w:t>
      </w:r>
    </w:p>
    <w:p>
      <w:pPr>
        <w:spacing w:after="400"/>
        <w:jc w:val="center"/>
      </w:pPr>
      <w:r>
        <w:rPr>
          <w:b/>
          <w:bCs/>
          <w:sz w:val="20"/>
          <w:szCs w:val="20"/>
        </w:rPr>
        <w:t xml:space="preserve">Reporting Period: Week 3 of the engagement — Phase 3 (Physical Implementation) — IN PROGRESS</w:t>
      </w:r>
    </w:p>
    <w:p>
      <w:pPr>
        <w:jc w:val="center"/>
      </w:pPr>
      <w:r>
        <w:rPr>
          <w:b/>
          <w:bCs/>
          <w:sz w:val="22"/>
          <w:szCs w:val="22"/>
        </w:rPr>
        <w:t xml:space="preserve">Team Members and Roles</w:t>
      </w:r>
    </w:p>
    <w:p>
      <w:pPr>
        <w:spacing w:after="40"/>
        <w:jc w:val="center"/>
      </w:pPr>
      <w:r>
        <w:rPr>
          <w:sz w:val="20"/>
          <w:szCs w:val="20"/>
        </w:rPr>
        <w:t xml:space="preserve">Fiberesima Ibidabo Joshua — Team Lead &amp; Database Architect</w:t>
      </w:r>
    </w:p>
    <w:p>
      <w:pPr>
        <w:spacing w:after="40"/>
        <w:jc w:val="center"/>
      </w:pPr>
      <w:r>
        <w:rPr>
          <w:sz w:val="20"/>
          <w:szCs w:val="20"/>
        </w:rPr>
        <w:t xml:space="preserve">Godsfavour James — Database Engineer (Retail &amp; Logistics)</w:t>
      </w:r>
    </w:p>
    <w:p>
      <w:pPr>
        <w:spacing w:after="40"/>
        <w:jc w:val="center"/>
      </w:pPr>
      <w:r>
        <w:rPr>
          <w:sz w:val="20"/>
          <w:szCs w:val="20"/>
        </w:rPr>
        <w:t xml:space="preserve">Victor Umanah — Database Engineer (Financial Services &amp; AgriCore)</w:t>
      </w:r>
    </w:p>
    <w:p>
      <w:pPr>
        <w:spacing w:after="40"/>
        <w:jc w:val="center"/>
      </w:pPr>
      <w:r>
        <w:rPr>
          <w:sz w:val="20"/>
          <w:szCs w:val="20"/>
        </w:rPr>
        <w:t xml:space="preserve">Ola Aulewon — Database Engineer (Properties)</w:t>
      </w:r>
    </w:p>
    <w:p>
      <w:pPr>
        <w:spacing w:after="40"/>
        <w:jc w:val="center"/>
      </w:pPr>
      <w:r>
        <w:rPr>
          <w:sz w:val="20"/>
          <w:szCs w:val="20"/>
        </w:rPr>
        <w:t xml:space="preserve">Kamsy Krystal — Documentation &amp; QA Lead</w:t>
      </w:r>
    </w:p>
    <w:p>
      <w:pPr>
        <w:spacing w:after="40"/>
        <w:jc w:val="center"/>
      </w:pPr>
      <w:r>
        <w:rPr>
          <w:sz w:val="20"/>
          <w:szCs w:val="20"/>
        </w:rPr>
        <w:t xml:space="preserve">Kachi — Business Analyst &amp; Requirements Lead</w:t>
      </w:r>
    </w:p>
    <w:p>
      <w:r>
        <w:br w:type="page"/>
      </w:r>
    </w:p>
    <w:p>
      <w:pPr>
        <w:pStyle w:val="Heading1"/>
        <w:spacing w:after="180" w:before="360"/>
      </w:pPr>
      <w:r>
        <w:t xml:space="preserve">1. Executive Summary</w:t>
      </w:r>
    </w:p>
    <w:p>
      <w:pPr>
        <w:spacing w:after="160"/>
      </w:pPr>
      <w:r>
        <w:t xml:space="preserve">This is the Week 3 status report for The Concord Six's build of Project Concord. This week the team moved into Phase 3, physical implementation, on our shared Supabase project. Each divisional module owner from Week 2's design phase implemented their assigned tables directly on the shared database, all six members having edit access to the same live project. A full schema merge and Row Level Security deployment was completed, and the team ran a small proof-of-concept data load to confirm the whole schema works end to end before committing to full data volumes.</w:t>
      </w:r>
    </w:p>
    <w:p>
      <w:pPr>
        <w:spacing w:after="160"/>
      </w:pPr>
      <w:r>
        <w:rPr>
          <w:b/>
          <w:bCs/>
        </w:rPr>
        <w:t xml:space="preserve">Overall status: </w:t>
      </w:r>
      <w:r>
        <w:t xml:space="preserve">Phase 3 is IN PROGRESS, not yet complete. The schema itself is built and verified working. Two substantial pieces remain open — loading the full synthetic dataset at the brief's target volumes, and setting up the BigQuery ELT pipeline — both actively being worked on this week (Section 5).</w:t>
      </w:r>
    </w:p>
    <w:p>
      <w:pPr>
        <w:pStyle w:val="Heading1"/>
        <w:spacing w:after="180" w:before="360"/>
      </w:pPr>
      <w:r>
        <w:t xml:space="preserve">2. Objectives for Week 3</w:t>
      </w:r>
    </w:p>
    <w:p>
      <w:pPr>
        <w:pStyle w:val="ListParagraph"/>
        <w:numPr>
          <w:ilvl w:val="0"/>
          <w:numId w:val="1"/>
        </w:numPr>
        <w:spacing w:after="90"/>
      </w:pPr>
      <w:r>
        <w:t xml:space="preserve">Physically implement the full schema — all 40 tables, constraints, and indexes — on the shared Supabase project, building on each member's Week 2 module ownership.</w:t>
      </w:r>
    </w:p>
    <w:p>
      <w:pPr>
        <w:pStyle w:val="ListParagraph"/>
        <w:numPr>
          <w:ilvl w:val="0"/>
          <w:numId w:val="1"/>
        </w:numPr>
        <w:spacing w:after="90"/>
      </w:pPr>
      <w:r>
        <w:t xml:space="preserve">Deploy Row Level Security policies across all tables.</w:t>
      </w:r>
    </w:p>
    <w:p>
      <w:pPr>
        <w:pStyle w:val="ListParagraph"/>
        <w:numPr>
          <w:ilvl w:val="0"/>
          <w:numId w:val="1"/>
        </w:numPr>
        <w:spacing w:after="90"/>
      </w:pPr>
      <w:r>
        <w:t xml:space="preserve">Run a proof-of-concept data load to confirm the schema works correctly before full-scale population.</w:t>
      </w:r>
    </w:p>
    <w:p>
      <w:pPr>
        <w:pStyle w:val="ListParagraph"/>
        <w:numPr>
          <w:ilvl w:val="0"/>
          <w:numId w:val="1"/>
        </w:numPr>
        <w:spacing w:after="90"/>
      </w:pPr>
      <w:r>
        <w:t xml:space="preserve">Begin work on generating and loading synthetic data at the brief's Section 5.4 target volumes.</w:t>
      </w:r>
    </w:p>
    <w:p>
      <w:pPr>
        <w:pStyle w:val="ListParagraph"/>
        <w:numPr>
          <w:ilvl w:val="0"/>
          <w:numId w:val="1"/>
        </w:numPr>
        <w:spacing w:after="90"/>
      </w:pPr>
      <w:r>
        <w:t xml:space="preserve">Begin researching and setting up the BigQuery Extract-Load-Transform pipeline.</w:t>
      </w:r>
    </w:p>
    <w:p>
      <w:pPr>
        <w:pStyle w:val="Heading1"/>
        <w:spacing w:after="180" w:before="360"/>
      </w:pPr>
      <w:r>
        <w:t xml:space="preserve">3. Activities Completed This Week, by Team Member</w:t>
      </w:r>
    </w:p>
    <w:p>
      <w:pPr>
        <w:spacing w:after="160"/>
      </w:pPr>
      <w:r>
        <w:t xml:space="preserve">Building on the module ownership established in Week 2, each engineer implemented their assigned area directly on the shared Supabase project this week.</w:t>
      </w:r>
    </w:p>
    <w:p>
      <w:pPr>
        <w:pStyle w:val="Heading2"/>
        <w:spacing w:after="140" w:before="260"/>
      </w:pPr>
      <w:r>
        <w:t xml:space="preserve">3.1 Fiberesima Ibidabo Joshua — Team Lead &amp; Database Architect</w:t>
      </w:r>
    </w:p>
    <w:p>
      <w:pPr>
        <w:spacing w:after="160"/>
      </w:pPr>
      <w:r>
        <w:t xml:space="preserve">Merged all four team members' divisional table implementations into one consolidated schema on the shared Supabase project, resolving two minor naming conflicts that only became visible once the modules were combined in one live database. Deployed the six-role Row Level Security model and 44 policies across all 40 tables. Ran a 10-row-per-table proof-of-concept data load across every table as an end-to-end integration test — confirming every foreign key resolves, every constraint holds, and Row Level Security is active on all 40 tables, before the team commits to loading full data volumes.</w:t>
      </w:r>
    </w:p>
    <w:p>
      <w:pPr>
        <w:pStyle w:val="Heading2"/>
        <w:spacing w:after="140" w:before="260"/>
      </w:pPr>
      <w:r>
        <w:t xml:space="preserve">3.2 Godsfavour James — Meridian Retail and Concord Logistics</w:t>
      </w:r>
    </w:p>
    <w:p>
      <w:pPr>
        <w:spacing w:after="160"/>
      </w:pPr>
      <w:r>
        <w:t xml:space="preserve">Physically implemented and tested the 7 Meridian Retail tables and 7 Concord Logistics tables on the shared Supabase project, including the point-of-sale transaction and line-item structure and the vehicle/driver/shipment chain. Confirmed all indexes and constraints for both modules created without error during the team merge.</w:t>
      </w:r>
    </w:p>
    <w:p>
      <w:pPr>
        <w:pStyle w:val="Heading2"/>
        <w:spacing w:after="140" w:before="260"/>
      </w:pPr>
      <w:r>
        <w:t xml:space="preserve">3.3 Victor Umanah — Veridian Financial Services and AgriCore</w:t>
      </w:r>
    </w:p>
    <w:p>
      <w:pPr>
        <w:spacing w:after="160"/>
      </w:pPr>
      <w:r>
        <w:t xml:space="preserve">Physically implemented and tested the 6 Veridian Financial Services tables and 7 AgriCore tables. Worked directly with Joshua to confirm the restricted-access policies on vfs_kyc_records and vfs_wallet_transactions behave as intended — specifically that the group_executive role, unlike on most other tables, correctly cannot read either of these two tables.</w:t>
      </w:r>
    </w:p>
    <w:p>
      <w:pPr>
        <w:pStyle w:val="Heading2"/>
        <w:spacing w:after="140" w:before="260"/>
      </w:pPr>
      <w:r>
        <w:t xml:space="preserve">3.4 Ola Aulewon — Veridian Properties</w:t>
      </w:r>
    </w:p>
    <w:p>
      <w:pPr>
        <w:spacing w:after="160"/>
      </w:pPr>
      <w:r>
        <w:t xml:space="preserve">Physically implemented and tested the 7 Veridian Properties tables, including the cross-module foreign key from Concord Logistics' warehouses back to a specific leased property. Verified under test data that the "at most one active lease per tenant" rule from Section 5.3 holds correctly.</w:t>
      </w:r>
    </w:p>
    <w:p>
      <w:pPr>
        <w:pStyle w:val="Heading2"/>
        <w:spacing w:after="140" w:before="260"/>
      </w:pPr>
      <w:r>
        <w:t xml:space="preserve">3.5 Kamsy Krystal — Documentation and QA</w:t>
      </w:r>
    </w:p>
    <w:p>
      <w:pPr>
        <w:spacing w:after="160"/>
      </w:pPr>
      <w:r>
        <w:t xml:space="preserve">Ran quality assurance against this week's 10-row proof-of-concept load: verified row counts landed correctly in all 40 tables, confirmed zero constraint violations and zero orphaned foreign keys, and confirmed Row Level Security is enabled on every table (40 of 40). Preparing the verification checklist the team will re-run once full data volumes are loaded.</w:t>
      </w:r>
    </w:p>
    <w:p>
      <w:pPr>
        <w:pStyle w:val="Heading2"/>
        <w:spacing w:after="140" w:before="260"/>
      </w:pPr>
      <w:r>
        <w:t xml:space="preserve">3.6 Kachi — Business Analyst and Requirements</w:t>
      </w:r>
    </w:p>
    <w:p>
      <w:pPr>
        <w:spacing w:after="160"/>
      </w:pPr>
      <w:r>
        <w:t xml:space="preserve">Researching Google Cloud Platform and BigQuery account setup, which is new territory for the whole team — nobody has previously configured a service account, BigQuery dataset, or Extract-Load-Transform job. Finalising the exact data volume targets from Section 5.4 (e.g. 40,000–60,000 customers, 500,000–1,000,000 POS transactions) that the full synthetic data run needs to hit before Phase 3 can be considered complete.</w:t>
      </w:r>
    </w:p>
    <w:p>
      <w:pPr>
        <w:pStyle w:val="Heading1"/>
        <w:spacing w:after="180" w:before="360"/>
      </w:pPr>
      <w:r>
        <w:t xml:space="preserve">4. What Is Left to Complete Phase 3</w:t>
      </w:r>
    </w:p>
    <w:p>
      <w:pPr>
        <w:spacing w:after="160"/>
      </w:pPr>
      <w:r>
        <w:t xml:space="preserve">Two concrete items remain before Phase 3 can be marked complete against the brief's own checklist (Section 6.2):</w:t>
      </w:r>
    </w:p>
    <w:p>
      <w:pPr>
        <w:pStyle w:val="ListParagraph"/>
        <w:numPr>
          <w:ilvl w:val="0"/>
          <w:numId w:val="1"/>
        </w:numPr>
        <w:spacing w:after="90"/>
      </w:pPr>
      <w:r>
        <w:t xml:space="preserve">Load the full synthetic dataset at Section 5.4's target volumes. Only the 10-row proof-of-concept is currently loaded — this proves the schema works, but is nowhere near the scale the brief requires for a genuinely demonstrable platform.</w:t>
      </w:r>
    </w:p>
    <w:p>
      <w:pPr>
        <w:pStyle w:val="ListParagraph"/>
        <w:numPr>
          <w:ilvl w:val="0"/>
          <w:numId w:val="1"/>
        </w:numPr>
        <w:spacing w:after="90"/>
      </w:pPr>
      <w:r>
        <w:t xml:space="preserve">Set up and run the BigQuery Extract-Load-Transform pipeline for real, and confirm a genuine analytical query against BigQuery returns a correct, sensible answer — the explicit exit criterion Section 6.1 sets for this phase.</w:t>
      </w:r>
    </w:p>
    <w:p>
      <w:pPr>
        <w:pStyle w:val="Heading1"/>
        <w:spacing w:after="180" w:before="360"/>
      </w:pPr>
      <w:r>
        <w:t xml:space="preserve">5. Challenges Currently Slowing Us Down</w:t>
      </w:r>
    </w:p>
    <w:p>
      <w:pPr>
        <w:pStyle w:val="Heading2"/>
        <w:spacing w:after="140" w:before="260"/>
      </w:pPr>
      <w:r>
        <w:t xml:space="preserve">5.1 No Team Member Has Used Google Cloud / BigQuery Before</w:t>
      </w:r>
    </w:p>
    <w:p>
      <w:pPr>
        <w:spacing w:after="160"/>
      </w:pPr>
      <w:r>
        <w:t xml:space="preserve">This is a genuinely new tool for the entire team, unlike Supabase and pgAdmin which the team was already comfortable with from Phase 1. Kachi is currently researching the setup sequence — creating a Google Cloud project, enabling the BigQuery API, and creating a service account with the correct permissions — but this is taking longer than the team initially estimated, since it involves concepts (IAM roles, service account keys) nobody has worked with before.</w:t>
      </w:r>
    </w:p>
    <w:p>
      <w:pPr>
        <w:pStyle w:val="Heading2"/>
        <w:spacing w:after="140" w:before="260"/>
      </w:pPr>
      <w:r>
        <w:t xml:space="preserve">5.2 Full Data Load Is a Large, Connection-Sensitive Operation</w:t>
      </w:r>
    </w:p>
    <w:p>
      <w:pPr>
        <w:spacing w:after="160"/>
      </w:pPr>
      <w:r>
        <w:t xml:space="preserve">Loading the full synthetic dataset means moving several million rows in one sitting. Given the team's Week 1 experience with IPv4/IPv6 connectivity problems on the direct Supabase connection, we are being deliberately cautious about running the full load only once every team member's Session Pooler connection has been re-confirmed stable, to avoid a partial or interrupted load corrupting the shared project.</w:t>
      </w:r>
    </w:p>
    <w:p>
      <w:pPr>
        <w:pStyle w:val="Heading2"/>
        <w:spacing w:after="140" w:before="260"/>
      </w:pPr>
      <w:r>
        <w:t xml:space="preserve">5.3 Coordinating Who Runs the Load, Since Everyone Has Edit Access</w:t>
      </w:r>
    </w:p>
    <w:p>
      <w:pPr>
        <w:spacing w:after="160"/>
      </w:pPr>
      <w:r>
        <w:t xml:space="preserve">Because all six members can edit the same shared Supabase project, the team needs to agree on exactly one person running the full data load and the ELT job, to avoid two members accidentally attempting it at the same time against the same live database.</w:t>
      </w:r>
    </w:p>
    <w:p>
      <w:pPr>
        <w:spacing w:after="160"/>
      </w:pPr>
      <w:r>
        <w:rPr>
          <w:b/>
          <w:bCs/>
        </w:rPr>
        <w:t xml:space="preserve">Current status: </w:t>
      </w:r>
      <w:r>
        <w:t xml:space="preserve">The team is actively working on all three items above this week. We expect to close out the data volume loading first, with the BigQuery ELT setup following once Kachi's research is complete.</w:t>
      </w:r>
    </w:p>
    <w:p>
      <w:pPr>
        <w:pStyle w:val="Heading1"/>
        <w:spacing w:after="180" w:before="360"/>
      </w:pPr>
      <w:r>
        <w:t xml:space="preserve">6. Key Decisions Made This Week</w:t>
      </w:r>
    </w:p>
    <w:p>
      <w:pPr>
        <w:pStyle w:val="ListParagraph"/>
        <w:numPr>
          <w:ilvl w:val="0"/>
          <w:numId w:val="1"/>
        </w:numPr>
        <w:spacing w:after="90"/>
      </w:pPr>
      <w:r>
        <w:t xml:space="preserve">Joshua will run both the full data load and the initial BigQuery ELT job personally, once ready, to avoid concurrent-edit conflicts on the shared project.</w:t>
      </w:r>
    </w:p>
    <w:p>
      <w:pPr>
        <w:pStyle w:val="ListParagraph"/>
        <w:numPr>
          <w:ilvl w:val="0"/>
          <w:numId w:val="1"/>
        </w:numPr>
        <w:spacing w:after="90"/>
      </w:pPr>
      <w:r>
        <w:t xml:space="preserve">The team will re-verify every member's Supabase connection via the Session Pooler before attempting the full data load, rather than assuming Week 1's fix is still in effect for everyone.</w:t>
      </w:r>
    </w:p>
    <w:p>
      <w:pPr>
        <w:pStyle w:val="ListParagraph"/>
        <w:numPr>
          <w:ilvl w:val="0"/>
          <w:numId w:val="1"/>
        </w:numPr>
        <w:spacing w:after="90"/>
      </w:pPr>
      <w:r>
        <w:t xml:space="preserve">Kachi's Google Cloud / BigQuery research will be documented as a setup guide for the team, not just run once and forgotten, so any member can pick up ELT-related work later if needed.</w:t>
      </w:r>
    </w:p>
    <w:p>
      <w:pPr>
        <w:pStyle w:val="Heading1"/>
        <w:spacing w:after="180" w:before="360"/>
      </w:pPr>
      <w:r>
        <w:t xml:space="preserve">7. Plan for Next Week</w:t>
      </w:r>
    </w:p>
    <w:p>
      <w:pPr>
        <w:pStyle w:val="ListParagraph"/>
        <w:numPr>
          <w:ilvl w:val="0"/>
          <w:numId w:val="1"/>
        </w:numPr>
        <w:spacing w:after="90"/>
      </w:pPr>
      <w:r>
        <w:t xml:space="preserve">Complete the full synthetic data load at Section 5.4's target volumes.</w:t>
      </w:r>
    </w:p>
    <w:p>
      <w:pPr>
        <w:pStyle w:val="ListParagraph"/>
        <w:numPr>
          <w:ilvl w:val="0"/>
          <w:numId w:val="1"/>
        </w:numPr>
        <w:spacing w:after="90"/>
      </w:pPr>
      <w:r>
        <w:t xml:space="preserve">Complete Google Cloud / BigQuery setup and run the ELT pipeline for the first time against real data.</w:t>
      </w:r>
    </w:p>
    <w:p>
      <w:pPr>
        <w:pStyle w:val="ListParagraph"/>
        <w:numPr>
          <w:ilvl w:val="0"/>
          <w:numId w:val="1"/>
        </w:numPr>
        <w:spacing w:after="90"/>
      </w:pPr>
      <w:r>
        <w:t xml:space="preserve">Kamsy re-runs the full QA checklist against the populated database.</w:t>
      </w:r>
    </w:p>
    <w:p>
      <w:pPr>
        <w:pStyle w:val="ListParagraph"/>
        <w:numPr>
          <w:ilvl w:val="0"/>
          <w:numId w:val="1"/>
        </w:numPr>
        <w:spacing w:after="90"/>
      </w:pPr>
      <w:r>
        <w:t xml:space="preserve">Begin Phase 4 planning — dashboard construction and query performance review — once Phase 3's two remaining items are closed out.</w:t>
      </w:r>
    </w:p>
    <w:p>
      <w:pPr>
        <w:pStyle w:val="Heading1"/>
        <w:spacing w:after="180" w:before="360"/>
      </w:pPr>
      <w:r>
        <w:t xml:space="preserve">8. Risks and Watch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2C2C2A" w:val="clear"/>
            <w:vAlign w:val="center"/>
          </w:tcPr>
          <w:p>
            <w:r>
              <w:rPr>
                <w:b/>
                <w:bCs/>
                <w:color w:val="FFFFFF"/>
                <w:sz w:val="20"/>
                <w:szCs w:val="20"/>
              </w:rPr>
              <w:t xml:space="preserve">Risk</w:t>
            </w:r>
          </w:p>
        </w:tc>
        <w:tc>
          <w:tcPr>
            <w:tcW w:type="pct" w:w="16%"/>
            <w:shd w:fill="2C2C2A" w:val="clear"/>
            <w:vAlign w:val="center"/>
          </w:tcPr>
          <w:p>
            <w:r>
              <w:rPr>
                <w:b/>
                <w:bCs/>
                <w:color w:val="FFFFFF"/>
                <w:sz w:val="20"/>
                <w:szCs w:val="20"/>
              </w:rPr>
              <w:t xml:space="preserve">Likelihood</w:t>
            </w:r>
          </w:p>
        </w:tc>
        <w:tc>
          <w:tcPr>
            <w:tcW w:type="pct" w:w="42%"/>
            <w:shd w:fill="2C2C2A" w:val="clear"/>
            <w:vAlign w:val="center"/>
          </w:tcPr>
          <w:p>
            <w:r>
              <w:rPr>
                <w:b/>
                <w:bCs/>
                <w:color w:val="FFFFFF"/>
                <w:sz w:val="20"/>
                <w:szCs w:val="20"/>
              </w:rPr>
              <w:t xml:space="preserve">Mitigation</w:t>
            </w:r>
          </w:p>
        </w:tc>
      </w:tr>
      <w:tr>
        <w:tc>
          <w:tcPr>
            <w:tcW w:type="pct" w:w="42%"/>
            <w:vAlign w:val="center"/>
          </w:tcPr>
          <w:p>
            <w:r>
              <w:rPr>
                <w:b w:val="false"/>
                <w:bCs w:val="false"/>
                <w:sz w:val="20"/>
                <w:szCs w:val="20"/>
              </w:rPr>
              <w:t xml:space="preserve">BigQuery/GCP learning curve delays Phase 3 completion beyond this week</w:t>
            </w:r>
          </w:p>
        </w:tc>
        <w:tc>
          <w:tcPr>
            <w:tcW w:type="pct" w:w="16%"/>
            <w:vAlign w:val="center"/>
          </w:tcPr>
          <w:p>
            <w:r>
              <w:rPr>
                <w:b w:val="false"/>
                <w:bCs w:val="false"/>
                <w:sz w:val="20"/>
                <w:szCs w:val="20"/>
              </w:rPr>
              <w:t xml:space="preserve">Medium</w:t>
            </w:r>
          </w:p>
        </w:tc>
        <w:tc>
          <w:tcPr>
            <w:tcW w:type="pct" w:w="42%"/>
            <w:vAlign w:val="center"/>
          </w:tcPr>
          <w:p>
            <w:r>
              <w:rPr>
                <w:b w:val="false"/>
                <w:bCs w:val="false"/>
                <w:sz w:val="20"/>
                <w:szCs w:val="20"/>
              </w:rPr>
              <w:t xml:space="preserve">Kachi's setup guide will be documented once, reducing repeated research time if others need to assist.</w:t>
            </w:r>
          </w:p>
        </w:tc>
      </w:tr>
      <w:tr>
        <w:tc>
          <w:tcPr>
            <w:tcW w:type="pct" w:w="42%"/>
            <w:vAlign w:val="center"/>
          </w:tcPr>
          <w:p>
            <w:r>
              <w:rPr>
                <w:b w:val="false"/>
                <w:bCs w:val="false"/>
                <w:sz w:val="20"/>
                <w:szCs w:val="20"/>
              </w:rPr>
              <w:t xml:space="preserve">Full data load interrupted mid-way by a connectivity drop</w:t>
            </w:r>
          </w:p>
        </w:tc>
        <w:tc>
          <w:tcPr>
            <w:tcW w:type="pct" w:w="16%"/>
            <w:vAlign w:val="center"/>
          </w:tcPr>
          <w:p>
            <w:r>
              <w:rPr>
                <w:b w:val="false"/>
                <w:bCs w:val="false"/>
                <w:sz w:val="20"/>
                <w:szCs w:val="20"/>
              </w:rPr>
              <w:t xml:space="preserve">Medium</w:t>
            </w:r>
          </w:p>
        </w:tc>
        <w:tc>
          <w:tcPr>
            <w:tcW w:type="pct" w:w="42%"/>
            <w:vAlign w:val="center"/>
          </w:tcPr>
          <w:p>
            <w:r>
              <w:rPr>
                <w:b w:val="false"/>
                <w:bCs w:val="false"/>
                <w:sz w:val="20"/>
                <w:szCs w:val="20"/>
              </w:rPr>
              <w:t xml:space="preserve">Connections re-verified before starting; Joshua running it as a single, monitored session rather than in the background.</w:t>
            </w:r>
          </w:p>
        </w:tc>
      </w:tr>
      <w:tr>
        <w:tc>
          <w:tcPr>
            <w:tcW w:type="pct" w:w="42%"/>
            <w:vAlign w:val="center"/>
          </w:tcPr>
          <w:p>
            <w:r>
              <w:rPr>
                <w:b w:val="false"/>
                <w:bCs w:val="false"/>
                <w:sz w:val="20"/>
                <w:szCs w:val="20"/>
              </w:rPr>
              <w:t xml:space="preserve">Two members accidentally editing the shared project simultaneously during the load</w:t>
            </w:r>
          </w:p>
        </w:tc>
        <w:tc>
          <w:tcPr>
            <w:tcW w:type="pct" w:w="16%"/>
            <w:vAlign w:val="center"/>
          </w:tcPr>
          <w:p>
            <w:r>
              <w:rPr>
                <w:b w:val="false"/>
                <w:bCs w:val="false"/>
                <w:sz w:val="20"/>
                <w:szCs w:val="20"/>
              </w:rPr>
              <w:t xml:space="preserve">Low</w:t>
            </w:r>
          </w:p>
        </w:tc>
        <w:tc>
          <w:tcPr>
            <w:tcW w:type="pct" w:w="42%"/>
            <w:vAlign w:val="center"/>
          </w:tcPr>
          <w:p>
            <w:r>
              <w:rPr>
                <w:b w:val="false"/>
                <w:bCs w:val="false"/>
                <w:sz w:val="20"/>
                <w:szCs w:val="20"/>
              </w:rPr>
              <w:t xml:space="preserve">Explicitly assigned to Joshua only for this step; rest of team notified to pause schema edits during the load window.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2026-08-10T06:23:42.645Z</dcterms:created>
  <dcterms:modified xsi:type="dcterms:W3CDTF">2026-08-10T06:23:42.645Z</dcterms:modified>
</cp:coreProperties>
</file>

<file path=docProps/custom.xml><?xml version="1.0" encoding="utf-8"?>
<Properties xmlns="http://schemas.openxmlformats.org/officeDocument/2006/custom-properties" xmlns:vt="http://schemas.openxmlformats.org/officeDocument/2006/docPropsVTypes"/>
</file>