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48"/>
          <w:szCs w:val="48"/>
        </w:rPr>
        <w:t xml:space="preserve">PROJECT CONCORD</w:t>
      </w:r>
    </w:p>
    <w:p>
      <w:pPr>
        <w:spacing w:after="300" w:before="120"/>
        <w:jc w:val="center"/>
      </w:pPr>
      <w:r>
        <w:rPr>
          <w:color w:val="5B3A7A"/>
          <w:sz w:val="28"/>
          <w:szCs w:val="28"/>
        </w:rPr>
        <w:t xml:space="preserve">Live Presentation Guide</w:t>
      </w:r>
    </w:p>
    <w:p>
      <w:pPr>
        <w:jc w:val="center"/>
      </w:pPr>
      <w:r>
        <w:rPr>
          <w:i/>
          <w:iCs/>
          <w:sz w:val="20"/>
          <w:szCs w:val="20"/>
        </w:rPr>
        <w:t xml:space="preserve">Slide structure, talking points, live demo script, and anticipated Q&amp;A</w:t>
      </w:r>
    </w:p>
    <w:p>
      <w:pPr>
        <w:spacing w:after="400"/>
        <w:jc w:val="center"/>
      </w:pPr>
      <w:r>
        <w:rPr>
          <w:sz w:val="18"/>
          <w:szCs w:val="18"/>
        </w:rPr>
        <w:t xml:space="preserve">Addressed to: Adaeze Okonji-Bello (Group CEO) and Tobenna Iweka (CDTO)</w:t>
      </w:r>
    </w:p>
    <w:p>
      <w:pPr>
        <w:jc w:val="center"/>
      </w:pPr>
      <w:r>
        <w:rPr>
          <w:b/>
          <w:bCs/>
          <w:sz w:val="18"/>
          <w:szCs w:val="18"/>
        </w:rPr>
        <w:t xml:space="preserve">Presented by: The Concord Six</w:t>
      </w:r>
    </w:p>
    <w:p>
      <w:r>
        <w:br w:type="page"/>
      </w:r>
    </w:p>
    <w:p>
      <w:pPr>
        <w:pStyle w:val="Heading1"/>
        <w:spacing w:after="180" w:before="360"/>
      </w:pPr>
      <w:r>
        <w:t xml:space="preserve">How to Use This Guide</w:t>
      </w:r>
    </w:p>
    <w:p>
      <w:pPr>
        <w:spacing w:after="160"/>
      </w:pPr>
      <w:r>
        <w:t xml:space="preserve">This is built around one deliberate choice: the brief itself warns, as a named common pitfall, against 'preparing a final presentation that walks through the schema table by table rather than through the business scenarios' — stating plainly that 'a technically excellent schema that cannot be connected back to Ngozi's missing plantain, Chinedu's loan decision, Funmi's warehouse, or Adaeze's twenty-one day wait has not yet demonstrated that it solves the problem this brief describes.' So this presentation is structured around the four people, not the forty tables.</w:t>
      </w:r>
    </w:p>
    <w:p>
      <w:pPr>
        <w:spacing w:after="160"/>
      </w:pPr>
      <w:r>
        <w:t xml:space="preserve">Each slide below has: a suggested title, the core content/visual to show, and a SAY: block with actual talking points you can speak from directly or adapt into your own words. Total estimated time: 15-18 minutes, leaving room for questions.</w:t>
      </w:r>
    </w:p>
    <w:p>
      <w:pPr>
        <w:spacing w:after="160"/>
      </w:pPr>
      <w:r>
        <w:rPr>
          <w:b/>
          <w:bCs/>
        </w:rPr>
        <w:t xml:space="preserve">Suggested speaking assignments: </w:t>
      </w:r>
      <w:r>
        <w:t xml:space="preserve">Joshua opens and closes (Slides 1-3, 13-14) as team lead; whoever built each scenario's dashboard presents that scenario live (matching the module ownership from Phase 2/3) — this makes the individual contribution visible to evaluators, not just claimed in a report.</w:t>
      </w:r>
    </w:p>
    <w:p>
      <w:pPr>
        <w:pStyle w:val="Heading1"/>
        <w:spacing w:after="180" w:before="360"/>
      </w:pPr>
      <w:r>
        <w:t xml:space="preserve">Slide-by-Slide Structure</w:t>
      </w:r>
    </w:p>
    <w:p>
      <w:pPr>
        <w:pStyle w:val="Heading2"/>
        <w:spacing w:after="140" w:before="260"/>
      </w:pPr>
      <w:r>
        <w:t xml:space="preserve">Slide 1 — Title</w:t>
      </w:r>
    </w:p>
    <w:p>
      <w:pPr>
        <w:spacing w:after="160"/>
      </w:pPr>
      <w:r>
        <w:t xml:space="preserve">Project Concord — The Veridian Unified Data Platform. Team name, member names, today's date.</w:t>
      </w:r>
    </w:p>
    <w:p>
      <w:pPr>
        <w:shd w:fill="F5F0F8" w:val="clear"/>
        <w:spacing w:after="200"/>
        <w:ind w:left="300"/>
      </w:pPr>
      <w:r>
        <w:rPr>
          <w:b/>
          <w:bCs/>
          <w:i/>
          <w:iCs/>
          <w:color w:val="5B3A7A"/>
        </w:rPr>
        <w:t xml:space="preserve">SAY: </w:t>
      </w:r>
      <w:r>
        <w:rPr>
          <w:i/>
          <w:iCs/>
          <w:color w:val="444444"/>
        </w:rPr>
        <w:t xml:space="preserve">Good [morning/afternoon]. We're The Concord Six, and over the past several weeks we've built the Veridian Unified Data Platform this brief calls for. We're not going to walk you through forty tables one at a time — we're going to show you four people at Veridian, and how this platform changes their Tuesday morning.</w:t>
      </w:r>
    </w:p>
    <w:p>
      <w:pPr>
        <w:pStyle w:val="Heading2"/>
        <w:spacing w:after="140" w:before="260"/>
      </w:pPr>
      <w:r>
        <w:t xml:space="preserve">Slide 2 — The Problem, In One Sentence</w:t>
      </w:r>
    </w:p>
    <w:p>
      <w:pPr>
        <w:spacing w:after="160"/>
      </w:pPr>
      <w:r>
        <w:t xml:space="preserve">Visual: a simple diagram of the five divisions as disconnected islands, or just the CEO's own quote displayed large.</w:t>
      </w:r>
    </w:p>
    <w:p>
      <w:pPr>
        <w:shd w:fill="F5F0F8" w:val="clear"/>
        <w:spacing w:after="200"/>
        <w:ind w:left="300"/>
      </w:pPr>
      <w:r>
        <w:rPr>
          <w:b/>
          <w:bCs/>
          <w:i/>
          <w:iCs/>
          <w:color w:val="5B3A7A"/>
        </w:rPr>
        <w:t xml:space="preserve">SAY: </w:t>
      </w:r>
      <w:r>
        <w:rPr>
          <w:i/>
          <w:iCs/>
          <w:color w:val="444444"/>
        </w:rPr>
        <w:t xml:space="preserve">Adaeze, your own letter in the brief says it best: 'we are five well-run businesses that happen to share a logo, rather than one integrated enterprise that happens to operate in five markets.' That gap costs the group an estimated four to six percent of annual revenue. That's the problem we were asked to solve.</w:t>
      </w:r>
    </w:p>
    <w:p>
      <w:pPr>
        <w:pStyle w:val="Heading2"/>
        <w:spacing w:after="140" w:before="260"/>
      </w:pPr>
      <w:r>
        <w:t xml:space="preserve">Slide 3 — Why This Time Is Different</w:t>
      </w:r>
    </w:p>
    <w:p>
      <w:pPr>
        <w:spacing w:after="160"/>
      </w:pPr>
      <w:r>
        <w:t xml:space="preserve">Visual: a simple two-row comparison — 2019 attempt (monolithic, no scope limit, never shipped) and 2022 attempt (200+ tables, dual platform, fewer than 40 ever built) vs. this build (40 tables, single platform, fully populated and live).</w:t>
      </w:r>
    </w:p>
    <w:p>
      <w:pPr>
        <w:shd w:fill="F5F0F8" w:val="clear"/>
        <w:spacing w:after="200"/>
        <w:ind w:left="300"/>
      </w:pPr>
      <w:r>
        <w:rPr>
          <w:b/>
          <w:bCs/>
          <w:i/>
          <w:iCs/>
          <w:color w:val="5B3A7A"/>
        </w:rPr>
        <w:t xml:space="preserve">SAY: </w:t>
      </w:r>
      <w:r>
        <w:rPr>
          <w:i/>
          <w:iCs/>
          <w:color w:val="444444"/>
        </w:rPr>
        <w:t xml:space="preserve">Two earlier attempts failed — not from lack of skill, but from scope that no team could realistically finish. We took that seriously. Forty tables, one platform, PostgreSQL on Supabase for operations, BigQuery for analytics. Everything we're about to show you is live, not a mockup.</w:t>
      </w:r>
    </w:p>
    <w:p>
      <w:pPr>
        <w:pStyle w:val="Heading2"/>
        <w:spacing w:after="140" w:before="260"/>
      </w:pPr>
      <w:r>
        <w:t xml:space="preserve">Slide 4 — Architecture in One Diagram</w:t>
      </w:r>
    </w:p>
    <w:p>
      <w:pPr>
        <w:spacing w:after="160"/>
      </w:pPr>
      <w:r>
        <w:t xml:space="preserve">Visual: the ERD or a simplified version — Core Services Hub in the centre, five divisional modules around it.</w:t>
      </w:r>
    </w:p>
    <w:p>
      <w:pPr>
        <w:shd w:fill="F5F0F8" w:val="clear"/>
        <w:spacing w:after="200"/>
        <w:ind w:left="300"/>
      </w:pPr>
      <w:r>
        <w:rPr>
          <w:b/>
          <w:bCs/>
          <w:i/>
          <w:iCs/>
          <w:color w:val="5B3A7A"/>
        </w:rPr>
        <w:t xml:space="preserve">SAY: </w:t>
      </w:r>
      <w:r>
        <w:rPr>
          <w:i/>
          <w:iCs/>
          <w:color w:val="444444"/>
        </w:rPr>
        <w:t xml:space="preserve">Six shared entities sit at the centre — customers, employees, suppliers, locations, products, and financial account references. Every division connects back to these instead of keeping five separate, disconnected copies of the same information. This single design choice is what makes everything you're about to see possible.</w:t>
      </w:r>
    </w:p>
    <w:p>
      <w:pPr>
        <w:pStyle w:val="Heading2"/>
        <w:spacing w:after="140" w:before="260"/>
      </w:pPr>
      <w:r>
        <w:t xml:space="preserve">Slide 5 — Scenario 1: Ngozi's Missing Plantain</w:t>
      </w:r>
    </w:p>
    <w:p>
      <w:pPr>
        <w:spacing w:after="160"/>
      </w:pPr>
      <w:r>
        <w:t xml:space="preserve">LIVE DEMO: switch to the actual Looker Studio dashboard, Scenario 1 page.</w:t>
      </w:r>
    </w:p>
    <w:p>
      <w:pPr>
        <w:shd w:fill="F5F0F8" w:val="clear"/>
        <w:spacing w:after="200"/>
        <w:ind w:left="300"/>
      </w:pPr>
      <w:r>
        <w:rPr>
          <w:b/>
          <w:bCs/>
          <w:i/>
          <w:iCs/>
          <w:color w:val="5B3A7A"/>
        </w:rPr>
        <w:t xml:space="preserve">SAY: </w:t>
      </w:r>
      <w:r>
        <w:rPr>
          <w:i/>
          <w:iCs/>
          <w:color w:val="444444"/>
        </w:rPr>
        <w:t xml:space="preserve">Ngozi manages a Meridian Mart branch in Enugu. In your brief, she loses eight percent of her produce revenue for a week because she has no warning a delivery will fail. Here — live — is the exact signal she'd now see, a full day in advance. [Point to the at-risk scorecard and table.] This isn't a mockup — this is querying real data through our BigQuery pipeline right now.</w:t>
      </w:r>
    </w:p>
    <w:p>
      <w:pPr>
        <w:pStyle w:val="Heading2"/>
        <w:spacing w:after="140" w:before="260"/>
      </w:pPr>
      <w:r>
        <w:t xml:space="preserve">Slide 6 — Scenario 2: Chinedu's Invisible History</w:t>
      </w:r>
    </w:p>
    <w:p>
      <w:pPr>
        <w:spacing w:after="160"/>
      </w:pPr>
      <w:r>
        <w:t xml:space="preserve">LIVE DEMO: Scenario 2 dashboard page.</w:t>
      </w:r>
    </w:p>
    <w:p>
      <w:pPr>
        <w:shd w:fill="F5F0F8" w:val="clear"/>
        <w:spacing w:after="200"/>
        <w:ind w:left="300"/>
      </w:pPr>
      <w:r>
        <w:rPr>
          <w:b/>
          <w:bCs/>
          <w:i/>
          <w:iCs/>
          <w:color w:val="5B3A7A"/>
        </w:rPr>
        <w:t xml:space="preserve">SAY: </w:t>
      </w:r>
      <w:r>
        <w:rPr>
          <w:i/>
          <w:iCs/>
          <w:color w:val="444444"/>
        </w:rPr>
        <w:t xml:space="preserve">Chinedu, a loan officer, currently sees two years of banking history and nothing else. Here's what he'd see now — a farmer's multi-year AgriCore supply record, summarised and permissioned, without ever giving Chinedu raw access to AgriCore's operational data. This only shows what he's allowed to see, by role, enforced at the database level — not by an application remembering to check.</w:t>
      </w:r>
    </w:p>
    <w:p>
      <w:pPr>
        <w:pStyle w:val="Heading2"/>
        <w:spacing w:after="140" w:before="260"/>
      </w:pPr>
      <w:r>
        <w:t xml:space="preserve">Slide 7 — Scenario 3: Funmi's Double-Booked Warehouse</w:t>
      </w:r>
    </w:p>
    <w:p>
      <w:pPr>
        <w:spacing w:after="160"/>
      </w:pPr>
      <w:r>
        <w:t xml:space="preserve">LIVE DEMO: Scenario 3 dashboard, point out the conditional-formatting highlight on leases nearing expiry.</w:t>
      </w:r>
    </w:p>
    <w:p>
      <w:pPr>
        <w:shd w:fill="F5F0F8" w:val="clear"/>
        <w:spacing w:after="200"/>
        <w:ind w:left="300"/>
      </w:pPr>
      <w:r>
        <w:rPr>
          <w:b/>
          <w:bCs/>
          <w:i/>
          <w:iCs/>
          <w:color w:val="5B3A7A"/>
        </w:rPr>
        <w:t xml:space="preserve">SAY: </w:t>
      </w:r>
      <w:r>
        <w:rPr>
          <w:i/>
          <w:iCs/>
          <w:color w:val="444444"/>
        </w:rPr>
        <w:t xml:space="preserve">Funmi's six-hour delay happened because a Properties lease change never reached Logistics. This warehouse table now carries a direct link to its actual lease record — and we've gone one step further, flagging any lease expiring within 30 days before it becomes a Funmi problem, not after.</w:t>
      </w:r>
    </w:p>
    <w:p>
      <w:pPr>
        <w:pStyle w:val="Heading2"/>
        <w:spacing w:after="140" w:before="260"/>
      </w:pPr>
      <w:r>
        <w:t xml:space="preserve">Slide 8 — Scenario 4: Adaeze's Twenty-One Day Wait</w:t>
      </w:r>
    </w:p>
    <w:p>
      <w:pPr>
        <w:spacing w:after="160"/>
      </w:pPr>
      <w:r>
        <w:t xml:space="preserve">LIVE DEMO: Scenario 4 dashboard, including the visible disclosure text box on the logistics figure.</w:t>
      </w:r>
    </w:p>
    <w:p>
      <w:pPr>
        <w:shd w:fill="F5F0F8" w:val="clear"/>
        <w:spacing w:after="200"/>
        <w:ind w:left="300"/>
      </w:pPr>
      <w:r>
        <w:rPr>
          <w:b/>
          <w:bCs/>
          <w:i/>
          <w:iCs/>
          <w:color w:val="5B3A7A"/>
        </w:rPr>
        <w:t xml:space="preserve">SAY: </w:t>
      </w:r>
      <w:r>
        <w:rPr>
          <w:i/>
          <w:iCs/>
          <w:color w:val="444444"/>
        </w:rPr>
        <w:t xml:space="preserve">And this is for you directly, Adaeze — same-day revenue, by division, not a twenty-one day wait. One honest note: the logistics figure here is a modelled stand-in, not real freight billing data, because that level of detail was out of scope for this build — and we're telling you that on the dashboard itself, not hiding it, because you told us in your own letter you don't want to wonder which numbers are already out of date.</w:t>
      </w:r>
    </w:p>
    <w:p>
      <w:pPr>
        <w:pStyle w:val="Heading2"/>
        <w:spacing w:after="140" w:before="260"/>
      </w:pPr>
      <w:r>
        <w:t xml:space="preserve">Slide 9 — Under the Hood: Security</w:t>
      </w:r>
    </w:p>
    <w:p>
      <w:pPr>
        <w:spacing w:after="160"/>
      </w:pPr>
      <w:r>
        <w:t xml:space="preserve">Visual: the six-role table, or a simple diagram showing VFS's most sensitive tables walled off even from group_executive.</w:t>
      </w:r>
    </w:p>
    <w:p>
      <w:pPr>
        <w:shd w:fill="F5F0F8" w:val="clear"/>
        <w:spacing w:after="200"/>
        <w:ind w:left="300"/>
      </w:pPr>
      <w:r>
        <w:rPr>
          <w:b/>
          <w:bCs/>
          <w:i/>
          <w:iCs/>
          <w:color w:val="5B3A7A"/>
        </w:rPr>
        <w:t xml:space="preserve">SAY: </w:t>
      </w:r>
      <w:r>
        <w:rPr>
          <w:i/>
          <w:iCs/>
          <w:color w:val="444444"/>
        </w:rPr>
        <w:t xml:space="preserve">Tobenna, this is for you. Six roles, forty-four separate access rules, verified — not assumed — enforced at the database layer. Your most sensitive VFS tables are walled off from every other role, including our own broadest executive role. We checked this directly against the database, not just against our own design intentions.</w:t>
      </w:r>
    </w:p>
    <w:p>
      <w:pPr>
        <w:pStyle w:val="Heading2"/>
        <w:spacing w:after="140" w:before="260"/>
      </w:pPr>
      <w:r>
        <w:t xml:space="preserve">Slide 10 — Under the Hood: Why Two Databases</w:t>
      </w:r>
    </w:p>
    <w:p>
      <w:pPr>
        <w:spacing w:after="160"/>
      </w:pPr>
      <w:r>
        <w:t xml:space="preserve">Visual: the OLTP/OLAP split diagram, plus the one real performance number — 582ms for a full aggregate query.</w:t>
      </w:r>
    </w:p>
    <w:p>
      <w:pPr>
        <w:shd w:fill="F5F0F8" w:val="clear"/>
        <w:spacing w:after="200"/>
        <w:ind w:left="300"/>
      </w:pPr>
      <w:r>
        <w:rPr>
          <w:b/>
          <w:bCs/>
          <w:i/>
          <w:iCs/>
          <w:color w:val="5B3A7A"/>
        </w:rPr>
        <w:t xml:space="preserve">SAY: </w:t>
      </w:r>
      <w:r>
        <w:rPr>
          <w:i/>
          <w:iCs/>
          <w:color w:val="444444"/>
        </w:rPr>
        <w:t xml:space="preserve">We measured, directly, what a full company-wide revenue aggregate costs on the live operational database: over half a second. Run that repeatedly, or by several people at once, and it starts slowing down real transactions — exactly what happened in 2022. That's why analytics live separately, in BigQuery, fed by a nightly pipeline we built and ran for real.</w:t>
      </w:r>
    </w:p>
    <w:p>
      <w:pPr>
        <w:pStyle w:val="Heading2"/>
        <w:spacing w:after="140" w:before="260"/>
      </w:pPr>
      <w:r>
        <w:t xml:space="preserve">Slide 11 — Honest Trade-offs</w:t>
      </w:r>
    </w:p>
    <w:p>
      <w:pPr>
        <w:spacing w:after="160"/>
      </w:pPr>
      <w:r>
        <w:t xml:space="preserve">Visual: a simple two-column honesty slide — 'What we hit' / 'What we did about it.'</w:t>
      </w:r>
    </w:p>
    <w:p>
      <w:pPr>
        <w:shd w:fill="F5F0F8" w:val="clear"/>
        <w:spacing w:after="200"/>
        <w:ind w:left="300"/>
      </w:pPr>
      <w:r>
        <w:rPr>
          <w:b/>
          <w:bCs/>
          <w:i/>
          <w:iCs/>
          <w:color w:val="5B3A7A"/>
        </w:rPr>
        <w:t xml:space="preserve">SAY: </w:t>
      </w:r>
      <w:r>
        <w:rPr>
          <w:i/>
          <w:iCs/>
          <w:color w:val="444444"/>
        </w:rPr>
        <w:t xml:space="preserve">Two things we want to be upfront about, not have you discover later. First: our data volume is smaller than the brief's target figures — we hit a real infrastructure timeout on bulk loading and made a deliberate, documented call to scale down rather than leave the platform half-loaded. Every relationship and every scenario still works correctly at this scale. Second: the brief's own text says '43 entities' but its own table lists only add up to forty — we built against the literal forty, and flagged the inconsistency rather than guess at three invented tables.</w:t>
      </w:r>
    </w:p>
    <w:p>
      <w:pPr>
        <w:pStyle w:val="Heading2"/>
        <w:spacing w:after="140" w:before="260"/>
      </w:pPr>
      <w:r>
        <w:t xml:space="preserve">Slide 12 — What Each of Us Built</w:t>
      </w:r>
    </w:p>
    <w:p>
      <w:pPr>
        <w:spacing w:after="160"/>
      </w:pPr>
      <w:r>
        <w:t xml:space="preserve">Visual: six names, six areas — Hub &amp; Security (Joshua), Retail &amp; Logistics (Godsfavour), VFS &amp; AgriCore (Victor), Properties (Ola), Documentation &amp; QA (Kamsy), Requirements &amp; Cloud Setup (Kachi).</w:t>
      </w:r>
    </w:p>
    <w:p>
      <w:pPr>
        <w:shd w:fill="F5F0F8" w:val="clear"/>
        <w:spacing w:after="200"/>
        <w:ind w:left="300"/>
      </w:pPr>
      <w:r>
        <w:rPr>
          <w:b/>
          <w:bCs/>
          <w:i/>
          <w:iCs/>
          <w:color w:val="5B3A7A"/>
        </w:rPr>
        <w:t xml:space="preserve">SAY: </w:t>
      </w:r>
      <w:r>
        <w:rPr>
          <w:i/>
          <w:iCs/>
          <w:color w:val="444444"/>
        </w:rPr>
        <w:t xml:space="preserve">[Each member states their own line in one sentence.] This was a genuine division of labour on one shared, live Supabase project — not six people each building a private copy.</w:t>
      </w:r>
    </w:p>
    <w:p>
      <w:pPr>
        <w:pStyle w:val="Heading2"/>
        <w:spacing w:after="140" w:before="260"/>
      </w:pPr>
      <w:r>
        <w:t xml:space="preserve">Slide 13 — What This Actually Solves</w:t>
      </w:r>
    </w:p>
    <w:p>
      <w:pPr>
        <w:spacing w:after="160"/>
      </w:pPr>
      <w:r>
        <w:t xml:space="preserve">Visual: return to the four names from Slide 5-8, now with a checkmark next to each.</w:t>
      </w:r>
    </w:p>
    <w:p>
      <w:pPr>
        <w:shd w:fill="F5F0F8" w:val="clear"/>
        <w:spacing w:after="200"/>
        <w:ind w:left="300"/>
      </w:pPr>
      <w:r>
        <w:rPr>
          <w:b/>
          <w:bCs/>
          <w:i/>
          <w:iCs/>
          <w:color w:val="5B3A7A"/>
        </w:rPr>
        <w:t xml:space="preserve">SAY: </w:t>
      </w:r>
      <w:r>
        <w:rPr>
          <w:i/>
          <w:iCs/>
          <w:color w:val="444444"/>
        </w:rPr>
        <w:t xml:space="preserve">Four people. Four real problems. All four now answerable, live, in seconds instead of days. That was the actual test this brief set for us, and that's what we're closing on.</w:t>
      </w:r>
    </w:p>
    <w:p>
      <w:pPr>
        <w:pStyle w:val="Heading2"/>
        <w:spacing w:after="140" w:before="260"/>
      </w:pPr>
      <w:r>
        <w:t xml:space="preserve">Slide 14 — Questions</w:t>
      </w:r>
    </w:p>
    <w:p>
      <w:pPr>
        <w:shd w:fill="F5F0F8" w:val="clear"/>
        <w:spacing w:after="200"/>
        <w:ind w:left="300"/>
      </w:pPr>
      <w:r>
        <w:rPr>
          <w:b/>
          <w:bCs/>
          <w:i/>
          <w:iCs/>
          <w:color w:val="5B3A7A"/>
        </w:rPr>
        <w:t xml:space="preserve">SAY: </w:t>
      </w:r>
      <w:r>
        <w:rPr>
          <w:i/>
          <w:iCs/>
          <w:color w:val="444444"/>
        </w:rPr>
        <w:t xml:space="preserve">Thank you — we're glad to take questions, or go deeper into anything you'd like to see live again.</w:t>
      </w:r>
    </w:p>
    <w:p>
      <w:r>
        <w:br w:type="page"/>
      </w:r>
    </w:p>
    <w:p>
      <w:pPr>
        <w:pStyle w:val="Heading1"/>
        <w:spacing w:after="180" w:before="360"/>
      </w:pPr>
      <w:r>
        <w:t xml:space="preserve">Anticipated Questions and Suggested Answers</w:t>
      </w:r>
    </w:p>
    <w:p>
      <w:pPr>
        <w:spacing w:after="160"/>
      </w:pPr>
      <w:r>
        <w:t xml:space="preserve">These are the questions most likely to come from CEO/CDTO-style evaluators, based on what a careful reader of this exact brief would probe.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2C2C2A" w:val="clear"/>
            <w:vAlign w:val="center"/>
          </w:tcPr>
          <w:p>
            <w:r>
              <w:rPr>
                <w:b/>
                <w:bCs/>
                <w:color w:val="FFFFFF"/>
                <w:sz w:val="20"/>
                <w:szCs w:val="20"/>
              </w:rPr>
              <w:t xml:space="preserve">Likely question</w:t>
            </w:r>
          </w:p>
        </w:tc>
        <w:tc>
          <w:tcPr>
            <w:tcW w:type="pct" w:w="60%"/>
            <w:shd w:fill="2C2C2A" w:val="clear"/>
            <w:vAlign w:val="center"/>
          </w:tcPr>
          <w:p>
            <w:r>
              <w:rPr>
                <w:b/>
                <w:bCs/>
                <w:color w:val="FFFFFF"/>
                <w:sz w:val="20"/>
                <w:szCs w:val="20"/>
              </w:rPr>
              <w:t xml:space="preserve">Suggested answer</w:t>
            </w:r>
          </w:p>
        </w:tc>
      </w:tr>
      <w:tr>
        <w:tc>
          <w:tcPr>
            <w:tcW w:type="pct" w:w="40%"/>
            <w:vAlign w:val="center"/>
          </w:tcPr>
          <w:p>
            <w:r>
              <w:rPr>
                <w:b w:val="false"/>
                <w:bCs w:val="false"/>
                <w:sz w:val="20"/>
                <w:szCs w:val="20"/>
              </w:rPr>
              <w:t xml:space="preserve">Why is your data volume smaller than what the brief asked for?</w:t>
            </w:r>
          </w:p>
        </w:tc>
        <w:tc>
          <w:tcPr>
            <w:tcW w:type="pct" w:w="60%"/>
            <w:vAlign w:val="center"/>
          </w:tcPr>
          <w:p>
            <w:r>
              <w:rPr>
                <w:b w:val="false"/>
                <w:bCs w:val="false"/>
                <w:sz w:val="20"/>
                <w:szCs w:val="20"/>
              </w:rPr>
              <w:t xml:space="preserve">We hit a genuine technical limit — Supabase's free-tier connection pooler times out on very large single bulk loads. Rather than leave the platform half-loaded or silently claim numbers we hadn't hit, we made a documented, deliberate call to scale every table down proportionally, preserving every relationship. It's disclosed directly in our report, not something we're hoping you don't ask about.</w:t>
            </w:r>
          </w:p>
        </w:tc>
      </w:tr>
      <w:tr>
        <w:tc>
          <w:tcPr>
            <w:tcW w:type="pct" w:w="40%"/>
            <w:vAlign w:val="center"/>
          </w:tcPr>
          <w:p>
            <w:r>
              <w:rPr>
                <w:b w:val="false"/>
                <w:bCs w:val="false"/>
                <w:sz w:val="20"/>
                <w:szCs w:val="20"/>
              </w:rPr>
              <w:t xml:space="preserve">How do you know the Row Level Security actually works, not just that you wrote policies?</w:t>
            </w:r>
          </w:p>
        </w:tc>
        <w:tc>
          <w:tcPr>
            <w:tcW w:type="pct" w:w="60%"/>
            <w:vAlign w:val="center"/>
          </w:tcPr>
          <w:p>
            <w:r>
              <w:rPr>
                <w:b w:val="false"/>
                <w:bCs w:val="false"/>
                <w:sz w:val="20"/>
                <w:szCs w:val="20"/>
              </w:rPr>
              <w:t xml:space="preserve">We verified it directly against the database's own system catalogs — pg_policies confirms 44 policies exist, and we independently checked that all 40 tables have RLS enabled, not just assumed from writing the SQL.</w:t>
            </w:r>
          </w:p>
        </w:tc>
      </w:tr>
      <w:tr>
        <w:tc>
          <w:tcPr>
            <w:tcW w:type="pct" w:w="40%"/>
            <w:vAlign w:val="center"/>
          </w:tcPr>
          <w:p>
            <w:r>
              <w:rPr>
                <w:b w:val="false"/>
                <w:bCs w:val="false"/>
                <w:sz w:val="20"/>
                <w:szCs w:val="20"/>
              </w:rPr>
              <w:t xml:space="preserve">What happens at real production scale — would this actually hold up?</w:t>
            </w:r>
          </w:p>
        </w:tc>
        <w:tc>
          <w:tcPr>
            <w:tcW w:type="pct" w:w="60%"/>
            <w:vAlign w:val="center"/>
          </w:tcPr>
          <w:p>
            <w:r>
              <w:rPr>
                <w:b w:val="false"/>
                <w:bCs w:val="false"/>
                <w:sz w:val="20"/>
                <w:szCs w:val="20"/>
              </w:rPr>
              <w:t xml:space="preserve">The schema, constraints, and RLS design don't change with scale. What would need attention is exactly what our performance review already flags: full-table analytical queries belong in BigQuery, not Postgres — which is precisely the architecture we built, not something we'd need to retrofit later.</w:t>
            </w:r>
          </w:p>
        </w:tc>
      </w:tr>
      <w:tr>
        <w:tc>
          <w:tcPr>
            <w:tcW w:type="pct" w:w="40%"/>
            <w:vAlign w:val="center"/>
          </w:tcPr>
          <w:p>
            <w:r>
              <w:rPr>
                <w:b w:val="false"/>
                <w:bCs w:val="false"/>
                <w:sz w:val="20"/>
                <w:szCs w:val="20"/>
              </w:rPr>
              <w:t xml:space="preserve">Why does the brief say 43 entities but you built 40?</w:t>
            </w:r>
          </w:p>
        </w:tc>
        <w:tc>
          <w:tcPr>
            <w:tcW w:type="pct" w:w="60%"/>
            <w:vAlign w:val="center"/>
          </w:tcPr>
          <w:p>
            <w:r>
              <w:rPr>
                <w:b w:val="false"/>
                <w:bCs w:val="false"/>
                <w:sz w:val="20"/>
                <w:szCs w:val="20"/>
              </w:rPr>
              <w:t xml:space="preserve">We counted the brief's own itemised catalogue in Section 5.2 directly — it sums to 40, not 43. Section 1.5 of the brief itself instructs us to flag inconsistencies like this rather than guess, so that's what we did.</w:t>
            </w:r>
          </w:p>
        </w:tc>
      </w:tr>
      <w:tr>
        <w:tc>
          <w:tcPr>
            <w:tcW w:type="pct" w:w="40%"/>
            <w:vAlign w:val="center"/>
          </w:tcPr>
          <w:p>
            <w:r>
              <w:rPr>
                <w:b w:val="false"/>
                <w:bCs w:val="false"/>
                <w:sz w:val="20"/>
                <w:szCs w:val="20"/>
              </w:rPr>
              <w:t xml:space="preserve">Is the logistics revenue figure on your executive dashboard real?</w:t>
            </w:r>
          </w:p>
        </w:tc>
        <w:tc>
          <w:tcPr>
            <w:tcW w:type="pct" w:w="60%"/>
            <w:vAlign w:val="center"/>
          </w:tcPr>
          <w:p>
            <w:r>
              <w:rPr>
                <w:b w:val="false"/>
                <w:bCs w:val="false"/>
                <w:sz w:val="20"/>
                <w:szCs w:val="20"/>
              </w:rPr>
              <w:t xml:space="preserve">No, and we say so directly on the dashboard — it's a modelled proxy based on shipment volume, since real freight billing detail was out of scope for this build. We'd rather show a clearly-labelled estimate than either hide the gap or invent fake precision.</w:t>
            </w:r>
          </w:p>
        </w:tc>
      </w:tr>
      <w:tr>
        <w:tc>
          <w:tcPr>
            <w:tcW w:type="pct" w:w="40%"/>
            <w:vAlign w:val="center"/>
          </w:tcPr>
          <w:p>
            <w:r>
              <w:rPr>
                <w:b w:val="false"/>
                <w:bCs w:val="false"/>
                <w:sz w:val="20"/>
                <w:szCs w:val="20"/>
              </w:rPr>
              <w:t xml:space="preserve">What was the hardest technical problem you solved?</w:t>
            </w:r>
          </w:p>
        </w:tc>
        <w:tc>
          <w:tcPr>
            <w:tcW w:type="pct" w:w="60%"/>
            <w:vAlign w:val="center"/>
          </w:tcPr>
          <w:p>
            <w:r>
              <w:rPr>
                <w:b w:val="false"/>
                <w:bCs w:val="false"/>
                <w:sz w:val="20"/>
                <w:szCs w:val="20"/>
              </w:rPr>
              <w:t xml:space="preserve">Answers will vary by team member — good opportunity for whoever owns that story to speak specifically, e.g. Joshua on the IPv4/pooler connectivity issue, or the team on the UUID-to-BigQuery type conversion bug found during the live pipeline run.</w:t>
            </w:r>
          </w:p>
        </w:tc>
      </w:tr>
    </w:tbl>
    <w:p>
      <w:pPr>
        <w:pStyle w:val="Heading1"/>
        <w:spacing w:after="180" w:before="360"/>
      </w:pPr>
      <w:r>
        <w:t xml:space="preserve">Timing Guide</w:t>
      </w:r>
    </w:p>
    <w:p>
      <w:pPr>
        <w:pStyle w:val="ListParagraph"/>
        <w:numPr>
          <w:ilvl w:val="0"/>
          <w:numId w:val="1"/>
        </w:numPr>
        <w:spacing w:after="90"/>
      </w:pPr>
      <w:r>
        <w:t xml:space="preserve">Slides 1-4 (setup): ~3 minutes</w:t>
      </w:r>
    </w:p>
    <w:p>
      <w:pPr>
        <w:pStyle w:val="ListParagraph"/>
        <w:numPr>
          <w:ilvl w:val="0"/>
          <w:numId w:val="1"/>
        </w:numPr>
        <w:spacing w:after="90"/>
      </w:pPr>
      <w:r>
        <w:t xml:space="preserve">Slides 5-8 (live scenario demos): ~7-8 minutes — the core of the presentation, don't rush this</w:t>
      </w:r>
    </w:p>
    <w:p>
      <w:pPr>
        <w:pStyle w:val="ListParagraph"/>
        <w:numPr>
          <w:ilvl w:val="0"/>
          <w:numId w:val="1"/>
        </w:numPr>
        <w:spacing w:after="90"/>
      </w:pPr>
      <w:r>
        <w:t xml:space="preserve">Slides 9-11 (technical depth + honesty): ~4 minutes</w:t>
      </w:r>
    </w:p>
    <w:p>
      <w:pPr>
        <w:pStyle w:val="ListParagraph"/>
        <w:numPr>
          <w:ilvl w:val="0"/>
          <w:numId w:val="1"/>
        </w:numPr>
        <w:spacing w:after="90"/>
      </w:pPr>
      <w:r>
        <w:t xml:space="preserve">Slides 12-14 (team + close): ~2 minutes</w:t>
      </w:r>
    </w:p>
    <w:p>
      <w:pPr>
        <w:spacing w:after="160"/>
      </w:pPr>
      <w:r>
        <w:rPr>
          <w:b/>
          <w:bCs/>
        </w:rPr>
        <w:t xml:space="preserve">Total: </w:t>
      </w:r>
      <w:r>
        <w:t xml:space="preserve">roughly 16-17 minutes, leaving time for Q&amp;A within a typical 20-25 minute slot.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2026-08-14T08:55:14.750Z</dcterms:created>
  <dcterms:modified xsi:type="dcterms:W3CDTF">2026-08-14T08:55:14.766Z</dcterms:modified>
</cp:coreProperties>
</file>

<file path=docProps/custom.xml><?xml version="1.0" encoding="utf-8"?>
<Properties xmlns="http://schemas.openxmlformats.org/officeDocument/2006/custom-properties" xmlns:vt="http://schemas.openxmlformats.org/officeDocument/2006/docPropsVTypes"/>
</file>