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SecureBank Complete Input Data &amp; Demo Workflow</w:t>
      </w:r>
    </w:p>
    <w:p>
      <w:pPr>
        <w:jc w:val="center"/>
      </w:pPr>
      <w:r>
        <w:t>ATLAS · SecureBank Online Banking · AI extraction and controlled-change demonstration dataset</w:t>
      </w:r>
    </w:p>
    <w:p>
      <w:pPr>
        <w:pStyle w:val="Heading1"/>
      </w:pPr>
      <w:r>
        <w:t>1. Account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Joshua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joshua@atlas.com</w:t>
            </w:r>
          </w:p>
        </w:tc>
      </w:tr>
      <w:tr>
        <w:tc>
          <w:tcPr>
            <w:tcW w:type="dxa" w:w="5112"/>
          </w:tcPr>
          <w:p>
            <w:r>
              <w:t>Password</w:t>
            </w:r>
          </w:p>
        </w:tc>
        <w:tc>
          <w:tcPr>
            <w:tcW w:type="dxa" w:w="5112"/>
          </w:tcPr>
          <w:p>
            <w:r>
              <w:t>Atlas@12345</w:t>
            </w:r>
          </w:p>
        </w:tc>
      </w:tr>
      <w:tr>
        <w:tc>
          <w:tcPr>
            <w:tcW w:type="dxa" w:w="5112"/>
          </w:tcPr>
          <w:p>
            <w:r>
              <w:t>Confirm Password</w:t>
            </w:r>
          </w:p>
        </w:tc>
        <w:tc>
          <w:tcPr>
            <w:tcW w:type="dxa" w:w="5112"/>
          </w:tcPr>
          <w:p>
            <w:r>
              <w:t>Atlas@12345</w:t>
            </w:r>
          </w:p>
        </w:tc>
      </w:tr>
    </w:tbl>
    <w:p>
      <w:pPr>
        <w:pStyle w:val="Heading1"/>
      </w:pPr>
      <w:r>
        <w:t>2. Create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SecureBank Online Banking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A secure online banking platform that supports user authentication, password recovery, and secure account access.</w:t>
            </w:r>
          </w:p>
        </w:tc>
      </w:tr>
    </w:tbl>
    <w:p>
      <w:pPr>
        <w:pStyle w:val="Heading1"/>
      </w:pPr>
      <w:r>
        <w:t>3. Upload and Extract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ATLAS_SecureBank_Maximum_Requirements_for_AI_Extraction.docx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SecureBank Online Banking</w:t>
            </w:r>
          </w:p>
        </w:tc>
      </w:tr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Upload → Process Document → Run AI Extraction → Review candidates → Approve accepted requirements</w:t>
            </w:r>
          </w:p>
        </w:tc>
      </w:tr>
      <w:tr>
        <w:tc>
          <w:tcPr>
            <w:tcW w:type="dxa" w:w="5112"/>
          </w:tcPr>
          <w:p>
            <w:r>
              <w:t>Rule</w:t>
            </w:r>
          </w:p>
        </w:tc>
        <w:tc>
          <w:tcPr>
            <w:tcW w:type="dxa" w:w="5112"/>
          </w:tcPr>
          <w:p>
            <w:r>
              <w:t>Do not manually duplicate all extracted requirements if demonstrating the AI extraction workflow.</w:t>
            </w:r>
          </w:p>
        </w:tc>
      </w:tr>
    </w:tbl>
    <w:p>
      <w:pPr>
        <w:pStyle w:val="Heading1"/>
      </w:pPr>
      <w:r>
        <w:t>4.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Password Reset API</w:t>
            </w:r>
          </w:p>
        </w:tc>
        <w:tc>
          <w:tcPr>
            <w:tcW w:type="dxa" w:w="5112"/>
          </w:tcPr>
          <w:p>
            <w:r>
              <w:t>Type: API</w:t>
            </w:r>
          </w:p>
        </w:tc>
      </w:tr>
      <w:tr>
        <w:tc>
          <w:tcPr>
            <w:tcW w:type="dxa" w:w="5112"/>
          </w:tcPr>
          <w:p>
            <w:r>
              <w:t>Users Table</w:t>
            </w:r>
          </w:p>
        </w:tc>
        <w:tc>
          <w:tcPr>
            <w:tcW w:type="dxa" w:w="5112"/>
          </w:tcPr>
          <w:p>
            <w:r>
              <w:t>Type: Database</w:t>
            </w:r>
          </w:p>
        </w:tc>
      </w:tr>
      <w:tr>
        <w:tc>
          <w:tcPr>
            <w:tcW w:type="dxa" w:w="5112"/>
          </w:tcPr>
          <w:p>
            <w:r>
              <w:t>Password Reset Test Case</w:t>
            </w:r>
          </w:p>
        </w:tc>
        <w:tc>
          <w:tcPr>
            <w:tcW w:type="dxa" w:w="5112"/>
          </w:tcPr>
          <w:p>
            <w:r>
              <w:t>Type: Test Case</w:t>
            </w:r>
          </w:p>
        </w:tc>
      </w:tr>
      <w:tr>
        <w:tc>
          <w:tcPr>
            <w:tcW w:type="dxa" w:w="5112"/>
          </w:tcPr>
          <w:p>
            <w:r>
              <w:t>Authentication UML Component</w:t>
            </w:r>
          </w:p>
        </w:tc>
        <w:tc>
          <w:tcPr>
            <w:tcW w:type="dxa" w:w="5112"/>
          </w:tcPr>
          <w:p>
            <w:r>
              <w:t>Type: UML Component / Design</w:t>
            </w:r>
          </w:p>
        </w:tc>
      </w:tr>
      <w:tr>
        <w:tc>
          <w:tcPr>
            <w:tcW w:type="dxa" w:w="5112"/>
          </w:tcPr>
          <w:p>
            <w:r>
              <w:t>Authentication Service</w:t>
            </w:r>
          </w:p>
        </w:tc>
        <w:tc>
          <w:tcPr>
            <w:tcW w:type="dxa" w:w="5112"/>
          </w:tcPr>
          <w:p>
            <w:r>
              <w:t>Type: Service / Component, if supported by the UI</w:t>
            </w:r>
          </w:p>
        </w:tc>
      </w:tr>
    </w:tbl>
    <w:p>
      <w:pPr>
        <w:pStyle w:val="Heading1"/>
      </w:pPr>
      <w:r>
        <w:t>5. Accepted Traceability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SR-008</w:t>
            </w:r>
          </w:p>
        </w:tc>
        <w:tc>
          <w:tcPr>
            <w:tcW w:type="dxa" w:w="5112"/>
          </w:tcPr>
          <w:p>
            <w:r>
              <w:t>Password reset request → Password Reset API</w:t>
            </w:r>
          </w:p>
        </w:tc>
      </w:tr>
      <w:tr>
        <w:tc>
          <w:tcPr>
            <w:tcW w:type="dxa" w:w="5112"/>
          </w:tcPr>
          <w:p>
            <w:r>
              <w:t>SR-014</w:t>
            </w:r>
          </w:p>
        </w:tc>
        <w:tc>
          <w:tcPr>
            <w:tcW w:type="dxa" w:w="5112"/>
          </w:tcPr>
          <w:p>
            <w:r>
              <w:t>Token validity → Password Reset API</w:t>
            </w:r>
          </w:p>
        </w:tc>
      </w:tr>
      <w:tr>
        <w:tc>
          <w:tcPr>
            <w:tcW w:type="dxa" w:w="5112"/>
          </w:tcPr>
          <w:p>
            <w:r>
              <w:t>SR-014</w:t>
            </w:r>
          </w:p>
        </w:tc>
        <w:tc>
          <w:tcPr>
            <w:tcW w:type="dxa" w:w="5112"/>
          </w:tcPr>
          <w:p>
            <w:r>
              <w:t>Token validity → Password Reset Test Case</w:t>
            </w:r>
          </w:p>
        </w:tc>
      </w:tr>
      <w:tr>
        <w:tc>
          <w:tcPr>
            <w:tcW w:type="dxa" w:w="5112"/>
          </w:tcPr>
          <w:p>
            <w:r>
              <w:t>SR-015</w:t>
            </w:r>
          </w:p>
        </w:tc>
        <w:tc>
          <w:tcPr>
            <w:tcW w:type="dxa" w:w="5112"/>
          </w:tcPr>
          <w:p>
            <w:r>
              <w:t>Token invalidation → Password Reset API</w:t>
            </w:r>
          </w:p>
        </w:tc>
      </w:tr>
      <w:tr>
        <w:tc>
          <w:tcPr>
            <w:tcW w:type="dxa" w:w="5112"/>
          </w:tcPr>
          <w:p>
            <w:r>
              <w:t>SR-015</w:t>
            </w:r>
          </w:p>
        </w:tc>
        <w:tc>
          <w:tcPr>
            <w:tcW w:type="dxa" w:w="5112"/>
          </w:tcPr>
          <w:p>
            <w:r>
              <w:t>Token invalidation → Password Reset Test Case</w:t>
            </w:r>
          </w:p>
        </w:tc>
      </w:tr>
      <w:tr>
        <w:tc>
          <w:tcPr>
            <w:tcW w:type="dxa" w:w="5112"/>
          </w:tcPr>
          <w:p>
            <w:r>
              <w:t>SR-018</w:t>
            </w:r>
          </w:p>
        </w:tc>
        <w:tc>
          <w:tcPr>
            <w:tcW w:type="dxa" w:w="5112"/>
          </w:tcPr>
          <w:p>
            <w:r>
              <w:t>Confirmation message → Password Reset Test Case</w:t>
            </w:r>
          </w:p>
        </w:tc>
      </w:tr>
      <w:tr>
        <w:tc>
          <w:tcPr>
            <w:tcW w:type="dxa" w:w="5112"/>
          </w:tcPr>
          <w:p>
            <w:r>
              <w:t>SR-005</w:t>
            </w:r>
          </w:p>
        </w:tc>
        <w:tc>
          <w:tcPr>
            <w:tcW w:type="dxa" w:w="5112"/>
          </w:tcPr>
          <w:p>
            <w:r>
              <w:t>Protected project access → Authentication UML Component</w:t>
            </w:r>
          </w:p>
        </w:tc>
      </w:tr>
      <w:tr>
        <w:tc>
          <w:tcPr>
            <w:tcW w:type="dxa" w:w="5112"/>
          </w:tcPr>
          <w:p>
            <w:r>
              <w:t>Rule</w:t>
            </w:r>
          </w:p>
        </w:tc>
        <w:tc>
          <w:tcPr>
            <w:tcW w:type="dxa" w:w="5112"/>
          </w:tcPr>
          <w:p>
            <w:r>
              <w:t>Reject weak suggestions; only accepted links count toward coverage.</w:t>
            </w:r>
          </w:p>
        </w:tc>
      </w:tr>
    </w:tbl>
    <w:p>
      <w:pPr>
        <w:pStyle w:val="Heading1"/>
      </w:pPr>
      <w:r>
        <w:t>6.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TC-001</w:t>
            </w:r>
          </w:p>
        </w:tc>
        <w:tc>
          <w:tcPr>
            <w:tcW w:type="dxa" w:w="5112"/>
          </w:tcPr>
          <w:p>
            <w:r>
              <w:t>Password Reset Token Validity Period | Type: Functional | Priority: High | Draft</w:t>
            </w:r>
          </w:p>
        </w:tc>
      </w:tr>
      <w:tr>
        <w:tc>
          <w:tcPr>
            <w:tcW w:type="dxa" w:w="5112"/>
          </w:tcPr>
          <w:p>
            <w:r>
              <w:t>TC-002</w:t>
            </w:r>
          </w:p>
        </w:tc>
        <w:tc>
          <w:tcPr>
            <w:tcW w:type="dxa" w:w="5112"/>
          </w:tcPr>
          <w:p>
            <w:r>
              <w:t>Password Reset Token Expiration | Type: Functional | Priority: High | Draft</w:t>
            </w:r>
          </w:p>
        </w:tc>
      </w:tr>
      <w:tr>
        <w:tc>
          <w:tcPr>
            <w:tcW w:type="dxa" w:w="5112"/>
          </w:tcPr>
          <w:p>
            <w:r>
              <w:t>TC-003</w:t>
            </w:r>
          </w:p>
        </w:tc>
        <w:tc>
          <w:tcPr>
            <w:tcW w:type="dxa" w:w="5112"/>
          </w:tcPr>
          <w:p>
            <w:r>
              <w:t>Password Reset Confirmation Message | Type: Functional | Priority: Medium | Draft</w:t>
            </w:r>
          </w:p>
        </w:tc>
      </w:tr>
      <w:tr>
        <w:tc>
          <w:tcPr>
            <w:tcW w:type="dxa" w:w="5112"/>
          </w:tcPr>
          <w:p>
            <w:r>
              <w:t>TC-004</w:t>
            </w:r>
          </w:p>
        </w:tc>
        <w:tc>
          <w:tcPr>
            <w:tcW w:type="dxa" w:w="5112"/>
          </w:tcPr>
          <w:p>
            <w:r>
              <w:t>Expired Token Rejection | Type: Security | Priority: Critical | Draft</w:t>
            </w:r>
          </w:p>
        </w:tc>
      </w:tr>
      <w:tr>
        <w:tc>
          <w:tcPr>
            <w:tcW w:type="dxa" w:w="5112"/>
          </w:tcPr>
          <w:p>
            <w:r>
              <w:t>TC-005</w:t>
            </w:r>
          </w:p>
        </w:tc>
        <w:tc>
          <w:tcPr>
            <w:tcW w:type="dxa" w:w="5112"/>
          </w:tcPr>
          <w:p>
            <w:r>
              <w:t>Invalid Reset Token | Type: Security | Priority: High | Draft</w:t>
            </w:r>
          </w:p>
        </w:tc>
      </w:tr>
      <w:tr>
        <w:tc>
          <w:tcPr>
            <w:tcW w:type="dxa" w:w="5112"/>
          </w:tcPr>
          <w:p>
            <w:r>
              <w:t>TC-006</w:t>
            </w:r>
          </w:p>
        </w:tc>
        <w:tc>
          <w:tcPr>
            <w:tcW w:type="dxa" w:w="5112"/>
          </w:tcPr>
          <w:p>
            <w:r>
              <w:t>Password Reset Request Validation | Type: Functional | Priority: Medium | Draft</w:t>
            </w:r>
          </w:p>
        </w:tc>
      </w:tr>
      <w:tr>
        <w:tc>
          <w:tcPr>
            <w:tcW w:type="dxa" w:w="5112"/>
          </w:tcPr>
          <w:p>
            <w:r>
              <w:t>TC-007</w:t>
            </w:r>
          </w:p>
        </w:tc>
        <w:tc>
          <w:tcPr>
            <w:tcW w:type="dxa" w:w="5112"/>
          </w:tcPr>
          <w:p>
            <w:r>
              <w:t>Password Reset Token Reuse | Type: Security | Priority: High | Draft</w:t>
            </w:r>
          </w:p>
        </w:tc>
      </w:tr>
      <w:tr>
        <w:tc>
          <w:tcPr>
            <w:tcW w:type="dxa" w:w="5112"/>
          </w:tcPr>
          <w:p>
            <w:r>
              <w:t>TC-008</w:t>
            </w:r>
          </w:p>
        </w:tc>
        <w:tc>
          <w:tcPr>
            <w:tcW w:type="dxa" w:w="5112"/>
          </w:tcPr>
          <w:p>
            <w:r>
              <w:t>Password Reset Requirement Regression | Type: Regression | Priority: High | Draft</w:t>
            </w:r>
          </w:p>
        </w:tc>
      </w:tr>
      <w:tr>
        <w:tc>
          <w:tcPr>
            <w:tcW w:type="dxa" w:w="5112"/>
          </w:tcPr>
          <w:p>
            <w:r>
              <w:t>Important</w:t>
            </w:r>
          </w:p>
        </w:tc>
        <w:tc>
          <w:tcPr>
            <w:tcW w:type="dxa" w:w="5112"/>
          </w:tcPr>
          <w:p>
            <w:r>
              <w:t>Each test case has exactly ONE Type. Positive, Negative, and Boundary behavior belongs in the objective, test data, or steps—not multiple Type selections.</w:t>
            </w:r>
          </w:p>
        </w:tc>
      </w:tr>
    </w:tbl>
    <w:p>
      <w:pPr>
        <w:pStyle w:val="Heading1"/>
      </w:pPr>
      <w:r>
        <w:t>7.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Reviewer</w:t>
            </w:r>
          </w:p>
        </w:tc>
        <w:tc>
          <w:tcPr>
            <w:tcW w:type="dxa" w:w="5112"/>
          </w:tcPr>
          <w:p>
            <w:r>
              <w:t>Jemimah J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jemimah@gmail.com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Medium</w:t>
            </w:r>
          </w:p>
        </w:tc>
      </w:tr>
      <w:tr>
        <w:tc>
          <w:tcPr>
            <w:tcW w:type="dxa" w:w="5112"/>
          </w:tcPr>
          <w:p>
            <w:r>
              <w:t>Due Date</w:t>
            </w:r>
          </w:p>
        </w:tc>
        <w:tc>
          <w:tcPr>
            <w:tcW w:type="dxa" w:w="5112"/>
          </w:tcPr>
          <w:p>
            <w:r>
              <w:t>05-10-2026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Clarity, testability, measurability, traceability, and evidence.</w:t>
            </w:r>
          </w:p>
        </w:tc>
      </w:tr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Approve strong evidence. Reject weak traceability suggestions with a reason when required.</w:t>
            </w:r>
          </w:p>
        </w:tc>
      </w:tr>
    </w:tbl>
    <w:p>
      <w:pPr>
        <w:pStyle w:val="Heading1"/>
      </w:pPr>
      <w:r>
        <w:t>8. Create Baseline Before the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SecureBank v1.0 Approved Baseline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Initial approved baseline for SecureBank Online Banking. Includes approved authentication, password reset, token expiration, confirmation, and security requirements.</w:t>
            </w:r>
          </w:p>
        </w:tc>
      </w:tr>
      <w:tr>
        <w:tc>
          <w:tcPr>
            <w:tcW w:type="dxa" w:w="5112"/>
          </w:tcPr>
          <w:p>
            <w:r>
              <w:t>Critical</w:t>
            </w:r>
          </w:p>
        </w:tc>
        <w:tc>
          <w:tcPr>
            <w:tcW w:type="dxa" w:w="5112"/>
          </w:tcPr>
          <w:p>
            <w:r>
              <w:t>Capture SR-014 at 15 minutes before changing it.</w:t>
            </w:r>
          </w:p>
        </w:tc>
      </w:tr>
    </w:tbl>
    <w:p>
      <w:pPr>
        <w:pStyle w:val="Heading1"/>
      </w:pPr>
      <w:r>
        <w:t>9. Controlled Requirement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SR-014</w:t>
            </w:r>
          </w:p>
        </w:tc>
      </w:tr>
      <w:tr>
        <w:tc>
          <w:tcPr>
            <w:tcW w:type="dxa" w:w="5112"/>
          </w:tcPr>
          <w:p>
            <w:r>
              <w:t>Old</w:t>
            </w:r>
          </w:p>
        </w:tc>
        <w:tc>
          <w:tcPr>
            <w:tcW w:type="dxa" w:w="5112"/>
          </w:tcPr>
          <w:p>
            <w:r>
              <w:t>15 minutes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30 minutes</w:t>
            </w:r>
          </w:p>
        </w:tc>
      </w:tr>
      <w:tr>
        <w:tc>
          <w:tcPr>
            <w:tcW w:type="dxa" w:w="5112"/>
          </w:tcPr>
          <w:p>
            <w:r>
              <w:t>Related</w:t>
            </w:r>
          </w:p>
        </w:tc>
        <w:tc>
          <w:tcPr>
            <w:tcW w:type="dxa" w:w="5112"/>
          </w:tcPr>
          <w:p>
            <w:r>
              <w:t>Update SR-015 consistently; preserve the old version and baseline.</w:t>
            </w:r>
          </w:p>
        </w:tc>
      </w:tr>
    </w:tbl>
    <w:p>
      <w:pPr>
        <w:pStyle w:val="Heading1"/>
      </w:pPr>
      <w:r>
        <w:t>10. Impact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SecureBank v1.0 Approved Baseline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Current persisted version with 30-minute token validity</w:t>
            </w:r>
          </w:p>
        </w:tc>
      </w:tr>
      <w:tr>
        <w:tc>
          <w:tcPr>
            <w:tcW w:type="dxa" w:w="5112"/>
          </w:tcPr>
          <w:p>
            <w:r>
              <w:t>Changed Requirement</w:t>
            </w:r>
          </w:p>
        </w:tc>
        <w:tc>
          <w:tcPr>
            <w:tcW w:type="dxa" w:w="5112"/>
          </w:tcPr>
          <w:p>
            <w:r>
              <w:t>SR-014</w:t>
            </w:r>
          </w:p>
        </w:tc>
      </w:tr>
      <w:tr>
        <w:tc>
          <w:tcPr>
            <w:tcW w:type="dxa" w:w="5112"/>
          </w:tcPr>
          <w:p>
            <w:r>
              <w:t>Expected Direct Impacts</w:t>
            </w:r>
          </w:p>
        </w:tc>
        <w:tc>
          <w:tcPr>
            <w:tcW w:type="dxa" w:w="5112"/>
          </w:tcPr>
          <w:p>
            <w:r>
              <w:t>Password Reset API, TC-001, TC-002, TC-004 where accepted traceability exists</w:t>
            </w:r>
          </w:p>
        </w:tc>
      </w:tr>
      <w:tr>
        <w:tc>
          <w:tcPr>
            <w:tcW w:type="dxa" w:w="5112"/>
          </w:tcPr>
          <w:p>
            <w:r>
              <w:t>Rule</w:t>
            </w:r>
          </w:p>
        </w:tc>
        <w:tc>
          <w:tcPr>
            <w:tcW w:type="dxa" w:w="5112"/>
          </w:tcPr>
          <w:p>
            <w:r>
              <w:t>Transitive impacts must follow accepted dependency/traceability paths only.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Show severity, risk score, rationale/evidence, and history where supported.</w:t>
            </w:r>
          </w:p>
        </w:tc>
      </w:tr>
    </w:tbl>
    <w:p>
      <w:pPr>
        <w:pStyle w:val="Heading1"/>
      </w:pPr>
      <w:r>
        <w:t>11. Remediation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TC-001</w:t>
            </w:r>
          </w:p>
        </w:tc>
        <w:tc>
          <w:tcPr>
            <w:tcW w:type="dxa" w:w="5112"/>
          </w:tcPr>
          <w:p>
            <w:r>
              <w:t>Change 15 → 30 minutes</w:t>
            </w:r>
          </w:p>
        </w:tc>
      </w:tr>
      <w:tr>
        <w:tc>
          <w:tcPr>
            <w:tcW w:type="dxa" w:w="5112"/>
          </w:tcPr>
          <w:p>
            <w:r>
              <w:t>TC-002</w:t>
            </w:r>
          </w:p>
        </w:tc>
        <w:tc>
          <w:tcPr>
            <w:tcW w:type="dxa" w:w="5112"/>
          </w:tcPr>
          <w:p>
            <w:r>
              <w:t>Change 15 → 30 minutes</w:t>
            </w:r>
          </w:p>
        </w:tc>
      </w:tr>
      <w:tr>
        <w:tc>
          <w:tcPr>
            <w:tcW w:type="dxa" w:w="5112"/>
          </w:tcPr>
          <w:p>
            <w:r>
              <w:t>TC-004</w:t>
            </w:r>
          </w:p>
        </w:tc>
        <w:tc>
          <w:tcPr>
            <w:tcW w:type="dxa" w:w="5112"/>
          </w:tcPr>
          <w:p>
            <w:r>
              <w:t>Change expiry expectation 15 → 30 minutes</w:t>
            </w:r>
          </w:p>
        </w:tc>
      </w:tr>
      <w:tr>
        <w:tc>
          <w:tcPr>
            <w:tcW w:type="dxa" w:w="5112"/>
          </w:tcPr>
          <w:p>
            <w:r>
              <w:t>Implementation</w:t>
            </w:r>
          </w:p>
        </w:tc>
        <w:tc>
          <w:tcPr>
            <w:tcW w:type="dxa" w:w="5112"/>
          </w:tcPr>
          <w:p>
            <w:r>
              <w:t>Update affected implementation and supporting documentation.</w:t>
            </w:r>
          </w:p>
        </w:tc>
      </w:tr>
      <w:tr>
        <w:tc>
          <w:tcPr>
            <w:tcW w:type="dxa" w:w="5112"/>
          </w:tcPr>
          <w:p>
            <w:r>
              <w:t>Governance</w:t>
            </w:r>
          </w:p>
        </w:tc>
        <w:tc>
          <w:tcPr>
            <w:tcW w:type="dxa" w:w="5112"/>
          </w:tcPr>
          <w:p>
            <w:r>
              <w:t>Re-review affected evidence and resolve high-risk blockers.</w:t>
            </w:r>
          </w:p>
        </w:tc>
      </w:tr>
    </w:tbl>
    <w:p>
      <w:pPr>
        <w:pStyle w:val="Heading1"/>
      </w:pPr>
      <w:r>
        <w:t>12. Release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Before remediation</w:t>
            </w:r>
          </w:p>
        </w:tc>
        <w:tc>
          <w:tcPr>
            <w:tcW w:type="dxa" w:w="5112"/>
          </w:tcPr>
          <w:p>
            <w:r>
              <w:t>Changed requirement unresolved; affected tests not updated/reviewed; high-risk impact unresolved → NEEDS ATTENTION</w:t>
            </w:r>
          </w:p>
        </w:tc>
      </w:tr>
      <w:tr>
        <w:tc>
          <w:tcPr>
            <w:tcW w:type="dxa" w:w="5112"/>
          </w:tcPr>
          <w:p>
            <w:r>
              <w:t>After remediation</w:t>
            </w:r>
          </w:p>
        </w:tc>
        <w:tc>
          <w:tcPr>
            <w:tcW w:type="dxa" w:w="5112"/>
          </w:tcPr>
          <w:p>
            <w:r>
              <w:t>Requirements approved; traceability covered; test evidence covered; impact analyzed; affected tests updated/reviewed; high-risk blockers 0 → READY</w:t>
            </w:r>
          </w:p>
        </w:tc>
      </w:tr>
    </w:tbl>
    <w:p>
      <w:pPr>
        <w:pStyle w:val="Heading1"/>
      </w:pPr>
      <w:r>
        <w:t>13. AI Assistant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Q1</w:t>
            </w:r>
          </w:p>
        </w:tc>
        <w:tc>
          <w:tcPr>
            <w:tcW w:type="dxa" w:w="5112"/>
          </w:tcPr>
          <w:p>
            <w:r>
              <w:t>Which requirements affect password reset?</w:t>
            </w:r>
          </w:p>
        </w:tc>
      </w:tr>
      <w:tr>
        <w:tc>
          <w:tcPr>
            <w:tcW w:type="dxa" w:w="5112"/>
          </w:tcPr>
          <w:p>
            <w:r>
              <w:t>Q2</w:t>
            </w:r>
          </w:p>
        </w:tc>
        <w:tc>
          <w:tcPr>
            <w:tcW w:type="dxa" w:w="5112"/>
          </w:tcPr>
          <w:p>
            <w:r>
              <w:t>Which test cases verify password-reset token expiration?</w:t>
            </w:r>
          </w:p>
        </w:tc>
      </w:tr>
      <w:tr>
        <w:tc>
          <w:tcPr>
            <w:tcW w:type="dxa" w:w="5112"/>
          </w:tcPr>
          <w:p>
            <w:r>
              <w:t>Q3</w:t>
            </w:r>
          </w:p>
        </w:tc>
        <w:tc>
          <w:tcPr>
            <w:tcW w:type="dxa" w:w="5112"/>
          </w:tcPr>
          <w:p>
            <w:r>
              <w:t>What changed between baseline v1.0 and the current token-validity requirement?</w:t>
            </w:r>
          </w:p>
        </w:tc>
      </w:tr>
      <w:tr>
        <w:tc>
          <w:tcPr>
            <w:tcW w:type="dxa" w:w="5112"/>
          </w:tcPr>
          <w:p>
            <w:r>
              <w:t>Q4</w:t>
            </w:r>
          </w:p>
        </w:tc>
        <w:tc>
          <w:tcPr>
            <w:tcW w:type="dxa" w:w="5112"/>
          </w:tcPr>
          <w:p>
            <w:r>
              <w:t>Which components are affected if token expiry changes from 15 to 30 minutes?</w:t>
            </w:r>
          </w:p>
        </w:tc>
      </w:tr>
      <w:tr>
        <w:tc>
          <w:tcPr>
            <w:tcW w:type="dxa" w:w="5112"/>
          </w:tcPr>
          <w:p>
            <w:r>
              <w:t>Q5</w:t>
            </w:r>
          </w:p>
        </w:tc>
        <w:tc>
          <w:tcPr>
            <w:tcW w:type="dxa" w:w="5112"/>
          </w:tcPr>
          <w:p>
            <w:r>
              <w:t>Why is Password Reset API affected?</w:t>
            </w:r>
          </w:p>
        </w:tc>
      </w:tr>
      <w:tr>
        <w:tc>
          <w:tcPr>
            <w:tcW w:type="dxa" w:w="5112"/>
          </w:tcPr>
          <w:p>
            <w:r>
              <w:t>Q6</w:t>
            </w:r>
          </w:p>
        </w:tc>
        <w:tc>
          <w:tcPr>
            <w:tcW w:type="dxa" w:w="5112"/>
          </w:tcPr>
          <w:p>
            <w:r>
              <w:t>What evidence supports the affected artifacts?</w:t>
            </w:r>
          </w:p>
        </w:tc>
      </w:tr>
    </w:tbl>
    <w:p>
      <w:pPr>
        <w:pStyle w:val="Heading1"/>
      </w:pPr>
      <w:r>
        <w:t>14. Analytics &amp;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Verify</w:t>
            </w:r>
          </w:p>
        </w:tc>
        <w:tc>
          <w:tcPr>
            <w:tcW w:type="dxa" w:w="5112"/>
          </w:tcPr>
          <w:p>
            <w:r>
              <w:t>Requirement count, requirement coverage, test coverage, accepted/rejected traceability, impact history, health score/status/factors, release readiness, activity/audit history, and JSON/CSV/HTML export.</w:t>
            </w:r>
          </w:p>
        </w:tc>
      </w:tr>
    </w:tbl>
    <w:p>
      <w:pPr>
        <w:pStyle w:val="Heading1"/>
      </w:pPr>
      <w:r>
        <w:t>15. Project Deletion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Dashboard → project card → Project Settings · Danger Zone → Delete Project</w:t>
            </w:r>
          </w:p>
        </w:tc>
      </w:tr>
      <w:tr>
        <w:tc>
          <w:tcPr>
            <w:tcW w:type="dxa" w:w="5112"/>
          </w:tcPr>
          <w:p>
            <w:r>
              <w:t>Confirmation</w:t>
            </w:r>
          </w:p>
        </w:tc>
        <w:tc>
          <w:tcPr>
            <w:tcW w:type="dxa" w:w="5112"/>
          </w:tcPr>
          <w:p>
            <w:r>
              <w:t>Type the exact project name, then confirm permanent deletion.</w:t>
            </w:r>
          </w:p>
        </w:tc>
      </w:tr>
      <w:tr>
        <w:tc>
          <w:tcPr>
            <w:tcW w:type="dxa" w:w="5112"/>
          </w:tcPr>
          <w:p>
            <w:r>
              <w:t>Expected</w:t>
            </w:r>
          </w:p>
        </w:tc>
        <w:tc>
          <w:tcPr>
            <w:tcW w:type="dxa" w:w="5112"/>
          </w:tcPr>
          <w:p>
            <w:r>
              <w:t>Documents, requirements, versions, artifacts, links, test cases, reviews, baselines, impact reports, AI index/conversations, release data, and project-scoped audit data are removed consistently.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A platform-level deletion audit record remains outside the deleted project scope.</w:t>
            </w:r>
          </w:p>
        </w:tc>
      </w:tr>
      <w:tr>
        <w:tc>
          <w:tcPr>
            <w:tcW w:type="dxa" w:w="5112"/>
          </w:tcPr>
          <w:p>
            <w:r>
              <w:t>Negative test</w:t>
            </w:r>
          </w:p>
        </w:tc>
        <w:tc>
          <w:tcPr>
            <w:tcW w:type="dxa" w:w="5112"/>
          </w:tcPr>
          <w:p>
            <w:r>
              <w:t>Wrong project-name confirmation must not delete the project.</w:t>
            </w:r>
          </w:p>
        </w:tc>
      </w:tr>
    </w:tbl>
    <w:p>
      <w:pPr>
        <w:pStyle w:val="Heading1"/>
      </w:pPr>
      <w:r>
        <w:t>16. Admin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Suspend</w:t>
            </w:r>
          </w:p>
        </w:tc>
        <w:tc>
          <w:tcPr>
            <w:tcW w:type="dxa" w:w="5112"/>
          </w:tcPr>
          <w:p>
            <w:r>
              <w:t>Only authorized admin; never suspend the last active admin; self-suspension is blocked; sessions are invalidated.</w:t>
            </w:r>
          </w:p>
        </w:tc>
      </w:tr>
      <w:tr>
        <w:tc>
          <w:tcPr>
            <w:tcW w:type="dxa" w:w="5112"/>
          </w:tcPr>
          <w:p>
            <w:r>
              <w:t>Demote</w:t>
            </w:r>
          </w:p>
        </w:tc>
        <w:tc>
          <w:tcPr>
            <w:tcW w:type="dxa" w:w="5112"/>
          </w:tcPr>
          <w:p>
            <w:r>
              <w:t>Only authorized admin; never demote the last active admin; self-demotion is blocked.</w:t>
            </w:r>
          </w:p>
        </w:tc>
      </w:tr>
      <w:tr>
        <w:tc>
          <w:tcPr>
            <w:tcW w:type="dxa" w:w="5112"/>
          </w:tcPr>
          <w:p>
            <w:r>
              <w:t>Promote</w:t>
            </w:r>
          </w:p>
        </w:tc>
        <w:tc>
          <w:tcPr>
            <w:tcW w:type="dxa" w:w="5112"/>
          </w:tcPr>
          <w:p>
            <w:r>
              <w:t>Authorized admin only; explicit confirmation; role change invalidates the target session version.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Record actor, target, action, timestamp, and reason where applicable.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