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572F" w14:textId="77777777" w:rsidR="00091D70" w:rsidRDefault="00000000">
      <w:pPr>
        <w:spacing w:after="80"/>
        <w:jc w:val="center"/>
      </w:pPr>
      <w:r>
        <w:rPr>
          <w:b/>
          <w:bCs/>
          <w:sz w:val="28"/>
          <w:szCs w:val="28"/>
        </w:rPr>
        <w:t>Benchmarking Multilingual Transformer Models for Malay–English Code-Switched Sentiment Analysis</w:t>
      </w:r>
    </w:p>
    <w:p w14:paraId="53D88A67" w14:textId="77777777" w:rsidR="00091D70" w:rsidRDefault="00000000">
      <w:pPr>
        <w:spacing w:after="80"/>
        <w:jc w:val="center"/>
      </w:pPr>
      <w:r>
        <w:rPr>
          <w:sz w:val="22"/>
          <w:szCs w:val="22"/>
        </w:rPr>
        <w:t>Joshua Joenathan Thomas  Amit Kumar Gupta</w:t>
      </w:r>
    </w:p>
    <w:p w14:paraId="35427393" w14:textId="77777777" w:rsidR="00091D70" w:rsidRDefault="00000000">
      <w:pPr>
        <w:spacing w:after="80"/>
        <w:jc w:val="center"/>
      </w:pPr>
      <w:r>
        <w:rPr>
          <w:sz w:val="18"/>
          <w:szCs w:val="18"/>
        </w:rPr>
        <w:t>MSc in Artificial Intelligence, National College of Ireland, Dublin, Ireland</w:t>
      </w:r>
    </w:p>
    <w:p w14:paraId="5158A64B" w14:textId="77777777" w:rsidR="00091D70" w:rsidRDefault="00000000">
      <w:pPr>
        <w:spacing w:after="200"/>
        <w:jc w:val="center"/>
      </w:pPr>
      <w:r>
        <w:rPr>
          <w:sz w:val="18"/>
          <w:szCs w:val="18"/>
        </w:rPr>
        <w:t>x25141571@student.ncirl.ie  x25109952@student.ncirl.ie</w:t>
      </w:r>
    </w:p>
    <w:p w14:paraId="50F0678F" w14:textId="77777777" w:rsidR="00091D70" w:rsidRDefault="00000000">
      <w:pPr>
        <w:spacing w:after="60"/>
        <w:jc w:val="center"/>
      </w:pPr>
      <w:r>
        <w:rPr>
          <w:b/>
          <w:bCs/>
        </w:rPr>
        <w:t>Abstract</w:t>
      </w:r>
    </w:p>
    <w:p w14:paraId="31C1AA66" w14:textId="77777777" w:rsidR="00091D70" w:rsidRDefault="00000000">
      <w:pPr>
        <w:spacing w:after="80"/>
        <w:ind w:left="360" w:right="360"/>
        <w:jc w:val="both"/>
      </w:pPr>
      <w:r>
        <w:rPr>
          <w:sz w:val="18"/>
          <w:szCs w:val="18"/>
        </w:rPr>
        <w:t>This paper presents a controlled three-tier benchmark of sentiment analysis methods on Malay–English code-switched Twitter data, evaluated against the MESocSentiment corpus. Five zero-shot baselines (VADER, TextBlob, pysentimiento, SentiLexM, MELex), one classical supervised model (TF-IDF + LinearSVC), and seven fine-tuned multilingual transformer configurations (XLM-R, mDeBERTa-v3, XLM-T, and Focal Loss variants) are evaluated on a 1,700-sample clean gold test set derived from 2,000 manually annotated tweets. A methodological audit identifies and corrects four systematic design flaws present in standard benchmarking practice: noise-contaminated development splits, insufficient training epochs, impotent class-imbalance treatment, and a misidentified transformer training failure. The principal finding is that the dominant performance gap (Δ = +0.1629 Macro-F1) resides between the zero-shot and classical supervised tiers, not between the classical and transformer tiers (Δ = +0.018). XLM-R with Focal Loss (γ=1.0) achieves the highest single-run result (Macro-F1 = 0.6841) and a mean of 0.6748 (95% CI [0.6664, 0.6832]) across three seeds. LLM-assisted targeted label denoising produces a null result (Δ = −0.0282), consistent with broadly distributed label noise. All five datasets (MESocSentiment, dUCk brand tweets, tweet_eval English Twitter, SentiLexM, MELex) are stored in SQLite prior to processing and all code is made available as reproducible Jupyter notebooks.</w:t>
      </w:r>
    </w:p>
    <w:p w14:paraId="6DB2CF89" w14:textId="77777777" w:rsidR="00091D70" w:rsidRDefault="00000000">
      <w:pPr>
        <w:spacing w:after="200"/>
        <w:ind w:left="360" w:right="360"/>
        <w:jc w:val="both"/>
      </w:pPr>
      <w:r>
        <w:rPr>
          <w:b/>
          <w:bCs/>
          <w:sz w:val="18"/>
          <w:szCs w:val="18"/>
        </w:rPr>
        <w:t>Index Terms—</w:t>
      </w:r>
      <w:r>
        <w:rPr>
          <w:sz w:val="18"/>
          <w:szCs w:val="18"/>
        </w:rPr>
        <w:t>code-switching, sentiment analysis, Malay–English NLP, multilingual transformers, benchmark methodology, focal loss</w:t>
      </w:r>
    </w:p>
    <w:p w14:paraId="7FD0BBB8" w14:textId="77777777" w:rsidR="00091D70" w:rsidRDefault="00091D70">
      <w:pPr>
        <w:sectPr w:rsidR="00091D70">
          <w:pgSz w:w="11906" w:h="16838"/>
          <w:pgMar w:top="1080" w:right="1080" w:bottom="1080" w:left="1080" w:header="708" w:footer="708" w:gutter="0"/>
          <w:cols w:space="720"/>
          <w:docGrid w:linePitch="360"/>
        </w:sectPr>
      </w:pPr>
    </w:p>
    <w:p w14:paraId="05BE72EA" w14:textId="77777777" w:rsidR="00091D70" w:rsidRDefault="00000000">
      <w:pPr>
        <w:spacing w:before="200" w:after="100"/>
        <w:jc w:val="center"/>
      </w:pPr>
      <w:r>
        <w:rPr>
          <w:b/>
          <w:bCs/>
        </w:rPr>
        <w:t>I. INTRODUCTION</w:t>
      </w:r>
    </w:p>
    <w:p w14:paraId="764B323A" w14:textId="77777777" w:rsidR="00091D70" w:rsidRDefault="00000000">
      <w:pPr>
        <w:spacing w:after="100"/>
        <w:jc w:val="both"/>
      </w:pPr>
      <w:r>
        <w:t>Malaysian Twitter is a linguistically complex environment where users routinely interleave Malay and English within a single post, producing utterances such as “Memang best la that concert, totally worth it lah!” that resist processing by any tool designed for a single language. Sentiment analysis on such code-switched data has direct applications in brand reputation monitoring, public health surveillance, and political opinion analysis in multilingual regions [1].</w:t>
      </w:r>
    </w:p>
    <w:p w14:paraId="3DD2D641" w14:textId="77777777" w:rsidR="00091D70" w:rsidRDefault="00000000">
      <w:pPr>
        <w:spacing w:before="80" w:after="100"/>
        <w:jc w:val="both"/>
      </w:pPr>
      <w:r>
        <w:t>Despite growing interest in code-switched NLP [2]–[4], existing benchmarks suffer from a common methodological vulnerability: evaluation against pseudo-labels generated by the same automatic pipelines used to train the models. The MESocSentiment corpus [1] provides a rare 2,000-sample manually annotated gold test set, enabling a principled comparison against genuinely human-verified labels. This work exploits that resource to conduct a rigorous three-tier benchmark while simultaneously auditing and correcting systematic methodological flaws.</w:t>
      </w:r>
    </w:p>
    <w:p w14:paraId="5C7246C4" w14:textId="77777777" w:rsidR="00091D70" w:rsidRDefault="00000000">
      <w:pPr>
        <w:spacing w:before="80" w:after="100"/>
        <w:jc w:val="both"/>
      </w:pPr>
      <w:r>
        <w:t>The specific contributions of this paper are: (i) a corrected benchmark of 13 model configurations across three methodology tiers on a 1,700-sample clean test set; (ii) identification and quantification of four benchmarking pitfalls with measurable performance impacts; (iii) a multi-seed variance analysis with statistically appropriate confidence intervals; and (iv) a null-result LLM-assisted denoising experiment that provides evidence about the distribution of label noise in the corpus.</w:t>
      </w:r>
    </w:p>
    <w:p w14:paraId="2711AE2A" w14:textId="77777777" w:rsidR="00091D70" w:rsidRDefault="00000000">
      <w:pPr>
        <w:spacing w:before="200" w:after="100"/>
        <w:jc w:val="center"/>
      </w:pPr>
      <w:r>
        <w:rPr>
          <w:b/>
          <w:bCs/>
        </w:rPr>
        <w:t>II. RELATED WORK</w:t>
      </w:r>
    </w:p>
    <w:p w14:paraId="6C533661" w14:textId="77777777" w:rsidR="00091D70" w:rsidRDefault="00000000">
      <w:pPr>
        <w:spacing w:before="140" w:after="60"/>
      </w:pPr>
      <w:r>
        <w:rPr>
          <w:b/>
          <w:bCs/>
        </w:rPr>
        <w:t>A. Code-Switching NLP Benchmarks</w:t>
      </w:r>
    </w:p>
    <w:p w14:paraId="4F5A1F1F" w14:textId="77777777" w:rsidR="00091D70" w:rsidRDefault="00000000">
      <w:pPr>
        <w:spacing w:after="100"/>
        <w:jc w:val="both"/>
      </w:pPr>
      <w:r>
        <w:t>SemEval-2020 Task 9 [2] established large-scale sentiment benchmarks for Spanish-English and Hindi-English code-mixed data, with the best system achieving Macro-F1 = 0.755 on the Hindi-English track. GLUECoS [3] and LinCE [4] subsequently extended multilingual evaluation to additional language pairs. Winata et al. [5] surveyed a decade of code-switching NLP research, noting that Austronesian languages, including Malay, remain severely under-represented in benchmark corpora.</w:t>
      </w:r>
    </w:p>
    <w:p w14:paraId="4F68DA14" w14:textId="77777777" w:rsidR="00091D70" w:rsidRDefault="00000000">
      <w:pPr>
        <w:spacing w:before="140" w:after="60"/>
      </w:pPr>
      <w:r>
        <w:rPr>
          <w:b/>
          <w:bCs/>
        </w:rPr>
        <w:t>B. Malay Sentiment Analysis</w:t>
      </w:r>
    </w:p>
    <w:p w14:paraId="048307BD" w14:textId="77777777" w:rsidR="00091D70" w:rsidRDefault="00000000">
      <w:pPr>
        <w:spacing w:before="60" w:after="100"/>
        <w:jc w:val="both"/>
      </w:pPr>
      <w:r>
        <w:t>Kong et al. [6] evaluated sentiment classifiers on a Malay-English COVID-19 Twitter dataset, finding that multilingual transformers outperformed classical methods by 8–12 percentage points. Cheng et al. [7] demonstrated that TF-IDF + SVM achieves competitive performance on Malaysian Twitter when trained with domain-appropriate features, including Malay slang and short-form expressions. Al-Saffar et al. [8] showed that a Malay-specific lexicon achieves Macro-F1 ≈ 0.70 on formal Malay text, but this result does not generalise to informal, code-switched social media data.</w:t>
      </w:r>
    </w:p>
    <w:p w14:paraId="31CC824D" w14:textId="77777777" w:rsidR="00091D70" w:rsidRDefault="00000000">
      <w:pPr>
        <w:spacing w:before="140" w:after="60"/>
      </w:pPr>
      <w:r>
        <w:rPr>
          <w:b/>
          <w:bCs/>
        </w:rPr>
        <w:t>C. Multilingual Transformers</w:t>
      </w:r>
    </w:p>
    <w:p w14:paraId="0DAF96FF" w14:textId="77777777" w:rsidR="00091D70" w:rsidRDefault="00000000">
      <w:pPr>
        <w:spacing w:before="60" w:after="100"/>
        <w:jc w:val="both"/>
      </w:pPr>
      <w:r>
        <w:t>XLM-RoBERTa (XLM-R) [9], pre-trained on 100 languages via masked language modelling on 2.5TB of Common Crawl data, has become the de facto baseline for multilingual classification tasks. XLM-T [19] extends this by fine-tuning on 198 million multilingual tweets, providing a domain-adapted alternative. DeBERTa-v3 [11] introduces disentangled attention and an enhanced mask decoder; however, its mixed-precision behaviour on certain hardware configurations has not been systematically characterised.</w:t>
      </w:r>
    </w:p>
    <w:p w14:paraId="24407201" w14:textId="77777777" w:rsidR="00091D70" w:rsidRDefault="00000000">
      <w:pPr>
        <w:spacing w:before="200" w:after="100"/>
        <w:jc w:val="center"/>
      </w:pPr>
      <w:r>
        <w:rPr>
          <w:b/>
          <w:bCs/>
        </w:rPr>
        <w:t>III. METHODOLOGY</w:t>
      </w:r>
    </w:p>
    <w:p w14:paraId="57626123" w14:textId="77777777" w:rsidR="00091D70" w:rsidRDefault="00000000">
      <w:pPr>
        <w:spacing w:before="140" w:after="60"/>
      </w:pPr>
      <w:r>
        <w:rPr>
          <w:b/>
          <w:bCs/>
        </w:rPr>
        <w:t>A. Dataset and Database Storage</w:t>
      </w:r>
    </w:p>
    <w:p w14:paraId="74354E35" w14:textId="77777777" w:rsidR="00091D70" w:rsidRDefault="00000000">
      <w:pPr>
        <w:spacing w:after="100"/>
        <w:jc w:val="both"/>
      </w:pPr>
      <w:r>
        <w:t xml:space="preserve">The MESocSentiment corpus [1] provides 9,906 training samples and 2,000 manually annotated test samples across three sentiment classes: Negative, Neutral, and Positive (class distribution: 11.3%, 69.3%, 19.4% on the gold test set). Prior to any processing, all data partitions are ingested into a SQLite database using a structured schema with columns for tweet ID, raw text, preprocessed text, and sentiment label. Subsequent retrieval is performed </w:t>
        <w:lastRenderedPageBreak/>
        <w:t>programmatically via SQL queries, ensuring full data provenance. A 33.8% label disagreement rate between training pseudo-labels and gold test annotations was identified during preprocessing, constituting the primary source of noise in this benchmark.</w:t>
      </w:r>
    </w:p>
    <w:p w14:paraId="1A000010" w14:textId="77777777" w:rsidR="00091D70" w:rsidRDefault="00000000">
      <w:pPr>
        <w:spacing w:after="100"/>
        <w:jc w:val="both"/>
      </w:pPr>
      <w:r>
        <w:t xml:space="preserve">Two additional corpora extend the benchmark scope. The dUCk Group Tweets Dataset [14] provides 2,256 brand tweets about a Malaysian fashion label annotated with ternary sentiment (−1/0/1); 1,478 are Malay–English code-switched (ENG-BM) tweets used as the cross-corpus evaluation subset. The tweet_eval benchmark [10] contributes 59,899 English Twitter posts (45,615 train, 2,000 validation, 12,284 test) across three sentiment classes (SemEval-2017 Task 4), serving as a monolingual English reference corpus. Both datasets are parsed programmatically—dUCk from its native XML format using Python’s ElementTree library, tweet_eval via the HuggingFace </w:t>
      </w:r>
      <w:r>
        <w:t xml:space="preserve">datasets</w:t>
      </w:r>
      <w:r>
        <w:t xml:space="preserve"> library—and stored in the shared SQLite database prior to any evaluation, consistent with the provenance protocol applied to MESocSentiment.</w:t>
      </w:r>
    </w:p>
    <w:p w14:paraId="3C0646EF" w14:textId="77777777" w:rsidR="00091D70" w:rsidRDefault="00000000">
      <w:pPr>
        <w:spacing w:before="140" w:after="60"/>
      </w:pPr>
      <w:r>
        <w:rPr>
          <w:b/>
          <w:bCs/>
        </w:rPr>
        <w:t>B. Data Partitioning</w:t>
      </w:r>
    </w:p>
    <w:p w14:paraId="57DC0614" w14:textId="77777777" w:rsidR="00091D70" w:rsidRDefault="00000000">
      <w:pPr>
        <w:spacing w:before="60" w:after="100"/>
        <w:jc w:val="both"/>
      </w:pPr>
      <w:r>
        <w:t>The original 2,000-sample gold test set is split into a 300-sample clean development set and a 1,700-sample clean test set (stratified by class). All v2 transformer experiments use these partitions exclusively. This corrects a critical design flaw in standard practice: using a development set drawn from the noisy training pool for checkpoint selection, which optimises for memorising pseudo-label errors rather than genuine generalisation.</w:t>
      </w:r>
    </w:p>
    <w:p w14:paraId="2EE22381" w14:textId="77777777" w:rsidR="00091D70" w:rsidRDefault="00000000">
      <w:pPr>
        <w:spacing w:before="140" w:after="60"/>
      </w:pPr>
      <w:r>
        <w:rPr>
          <w:b/>
          <w:bCs/>
        </w:rPr>
        <w:t>C. Preprocessing</w:t>
      </w:r>
    </w:p>
    <w:p w14:paraId="3478D778" w14:textId="77777777" w:rsidR="00091D70" w:rsidRDefault="00000000">
      <w:pPr>
        <w:spacing w:before="60" w:after="100"/>
        <w:jc w:val="both"/>
      </w:pPr>
      <w:r>
        <w:t>All text is lowercased and URL patterns are removed via regular expression. Tokenisation is delegated to each model’s native tokeniser (SentencePiece for XLM-R/mDeBERTa; WordPiece for XLM-T). For TF-IDF, character n-grams (n=2,3) are included to capture Malay morphological variations such as reduplication (“best-best”) and affixation (“kantoi-kantoi”). All preprocessed text is written back to the SQLite database prior to model input.</w:t>
      </w:r>
    </w:p>
    <w:p w14:paraId="1AEED4A3" w14:textId="77777777" w:rsidR="00091D70" w:rsidRDefault="00000000">
      <w:pPr>
        <w:spacing w:before="140" w:after="60"/>
      </w:pPr>
      <w:r>
        <w:rPr>
          <w:b/>
          <w:bCs/>
        </w:rPr>
        <w:t>D. Model Configurations</w:t>
      </w:r>
    </w:p>
    <w:p w14:paraId="576033FA" w14:textId="77777777" w:rsidR="00091D70" w:rsidRDefault="00000000">
      <w:pPr>
        <w:spacing w:before="60" w:after="100"/>
        <w:jc w:val="both"/>
      </w:pPr>
      <w:r>
        <w:t>Thirteen configurations are evaluated across three tiers:</w:t>
      </w:r>
    </w:p>
    <w:p w14:paraId="20B6D198" w14:textId="77777777" w:rsidR="00091D70" w:rsidRDefault="00000000">
      <w:pPr>
        <w:spacing w:before="40" w:after="40"/>
        <w:ind w:left="360"/>
        <w:jc w:val="both"/>
      </w:pPr>
      <w:r>
        <w:t>Zero-shot baselines: VADER [18], TextBlob, pysentimiento (zero-shot RoBERTa-based neural classifier), SentiLexM (26,004-entry Malay–English bilingual lexicon sourced for this project [15]), and MELex (a published Malay property-sector lexicon [16]).</w:t>
      </w:r>
    </w:p>
    <w:p w14:paraId="20936A8B" w14:textId="77777777" w:rsidR="00091D70" w:rsidRDefault="00000000">
      <w:pPr>
        <w:spacing w:before="40" w:after="40"/>
        <w:ind w:left="360"/>
        <w:jc w:val="both"/>
      </w:pPr>
      <w:r>
        <w:t>Classical supervised: TF-IDF (char n-grams, 50K features) + LinearSVC with class_weight=‘balanced’.</w:t>
      </w:r>
    </w:p>
    <w:p w14:paraId="526B246C" w14:textId="77777777" w:rsidR="00091D70" w:rsidRDefault="00000000">
      <w:pPr>
        <w:spacing w:before="40" w:after="60"/>
        <w:ind w:left="360"/>
        <w:jc w:val="both"/>
      </w:pPr>
      <w:r>
        <w:t>Transformer fine-tuned: XLM-R (xlm-roberta-base), XLM-R with inverse-frequency class weights, XLM-R with Focal Loss γ=1.0, XLM-R with Focal Loss γ=2.0, mDeBERTa-v3 (microsoft/mdeberta-v3-base), XLM-R retrained on LLM-denoised data, and XLM-T (twitter-xlm-roberta-base-sentiment). All transformer models are trained for 7 epochs with differential learning rates (head: 2×10⁻⁵, backbone: 5×10⁻⁶), warmup ratio 0.1, and checkpoint selection on clean development Macro-F1.</w:t>
      </w:r>
    </w:p>
    <w:p w14:paraId="73611979" w14:textId="77777777" w:rsidR="00091D70" w:rsidRDefault="00000000">
      <w:pPr>
        <w:spacing w:before="140" w:after="60"/>
      </w:pPr>
      <w:r>
        <w:rPr>
          <w:b/>
          <w:bCs/>
        </w:rPr>
        <w:t>E. Evaluation</w:t>
      </w:r>
    </w:p>
    <w:p w14:paraId="6F1B39C7" w14:textId="77777777" w:rsidR="00091D70" w:rsidRDefault="00000000">
      <w:pPr>
        <w:spacing w:before="60" w:after="100"/>
        <w:jc w:val="both"/>
      </w:pPr>
      <w:r>
        <w:t>Macro-averaged F1 is the primary metric, chosen for its sensitivity to minority-class performance under class imbalance. Per-class precision, recall, and F1 are reported for diagnostic purposes. Multi-seed variance analysis (seeds 42, 123, 456) uses the t-distribution with df=2 (t₀.₀₂₅ = 4.303) to compute 95% confidence intervals as mean ± t·SE where SE = std / √n, appropriate for n=3.</w:t>
      </w:r>
    </w:p>
    <w:p w14:paraId="02848D32" w14:textId="77777777" w:rsidR="00091D70" w:rsidRDefault="00000000">
      <w:pPr>
        <w:spacing w:before="200" w:after="100"/>
        <w:jc w:val="center"/>
      </w:pPr>
      <w:r>
        <w:rPr>
          <w:b/>
          <w:bCs/>
        </w:rPr>
        <w:t>IV. RESULTS AND EVALUATION</w:t>
      </w:r>
    </w:p>
    <w:p w14:paraId="32295B0E" w14:textId="77777777" w:rsidR="00091D70" w:rsidRDefault="00000000">
      <w:pPr>
        <w:spacing w:before="140" w:after="60"/>
      </w:pPr>
      <w:r>
        <w:rPr>
          <w:b/>
          <w:bCs/>
        </w:rPr>
        <w:t>A. Tier Performance Overview</w:t>
      </w:r>
    </w:p>
    <w:p w14:paraId="77970226" w14:textId="77777777" w:rsidR="00091D70" w:rsidRDefault="00000000">
      <w:pPr>
        <w:spacing w:after="100"/>
        <w:jc w:val="both"/>
      </w:pPr>
      <w:r>
        <w:t>Table I presents results for all 13 configurations on the 1,700-sample clean test set (v2). The full tier hierarchy is immediately apparent: Macro-F1 progresses from 0.28–0.48 (zero-shot) to 0.6407 (SVM) to 0.6587–0.6841 (transformers).</w:t>
      </w:r>
    </w:p>
    <w:p w14:paraId="773A6962" w14:textId="77777777" w:rsidR="00091D70" w:rsidRDefault="00000000">
      <w:pPr>
        <w:spacing w:before="80" w:after="40"/>
        <w:jc w:val="center"/>
      </w:pPr>
      <w:r>
        <w:rPr>
          <w:b/>
          <w:bCs/>
          <w:sz w:val="18"/>
          <w:szCs w:val="18"/>
        </w:rPr>
        <w:t>TABLE I: Full Results—All 13 Configurations (n=1,700 clean test)</w:t>
      </w:r>
    </w:p>
    <w:tbl>
      <w:tblPr>
        <w:tblW w:w="4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1130"/>
        <w:gridCol w:w="770"/>
        <w:gridCol w:w="1517"/>
      </w:tblGrid>
      <w:tr w:rsidR="00091D70" w14:paraId="2E709569" w14:textId="77777777" w:rsidTr="00080266">
        <w:tc>
          <w:tcPr>
            <w:tcW w:w="1399" w:type="dxa"/>
            <w:tcBorders>
              <w:top w:val="single" w:sz="3" w:space="0" w:color="1F497D"/>
              <w:left w:val="single" w:sz="3" w:space="0" w:color="1F497D"/>
              <w:bottom w:val="single" w:sz="3" w:space="0" w:color="1F497D"/>
              <w:right w:val="single" w:sz="3" w:space="0" w:color="1F497D"/>
            </w:tcBorders>
            <w:shd w:val="clear" w:color="auto" w:fill="1F497D"/>
            <w:tcMar>
              <w:top w:w="60" w:type="dxa"/>
              <w:left w:w="100" w:type="dxa"/>
              <w:bottom w:w="60" w:type="dxa"/>
              <w:right w:w="100" w:type="dxa"/>
            </w:tcMar>
          </w:tcPr>
          <w:p w14:paraId="16E9BEED" w14:textId="77777777" w:rsidR="00091D70" w:rsidRDefault="00000000">
            <w:pPr>
              <w:jc w:val="center"/>
            </w:pPr>
            <w:r>
              <w:rPr>
                <w:b/>
                <w:bCs/>
                <w:color w:val="FFFFFF"/>
                <w:sz w:val="18"/>
                <w:szCs w:val="18"/>
              </w:rPr>
              <w:t>Model / Configuration</w:t>
            </w:r>
          </w:p>
        </w:tc>
        <w:tc>
          <w:tcPr>
            <w:tcW w:w="1130" w:type="dxa"/>
            <w:tcBorders>
              <w:top w:val="single" w:sz="3" w:space="0" w:color="1F497D"/>
              <w:left w:val="single" w:sz="3" w:space="0" w:color="1F497D"/>
              <w:bottom w:val="single" w:sz="3" w:space="0" w:color="1F497D"/>
              <w:right w:val="single" w:sz="3" w:space="0" w:color="1F497D"/>
            </w:tcBorders>
            <w:shd w:val="clear" w:color="auto" w:fill="1F497D"/>
            <w:tcMar>
              <w:top w:w="60" w:type="dxa"/>
              <w:left w:w="100" w:type="dxa"/>
              <w:bottom w:w="60" w:type="dxa"/>
              <w:right w:w="100" w:type="dxa"/>
            </w:tcMar>
          </w:tcPr>
          <w:p w14:paraId="204E5A59" w14:textId="77777777" w:rsidR="00091D70" w:rsidRDefault="00000000">
            <w:pPr>
              <w:jc w:val="center"/>
            </w:pPr>
            <w:r>
              <w:rPr>
                <w:b/>
                <w:bCs/>
                <w:color w:val="FFFFFF"/>
                <w:sz w:val="18"/>
                <w:szCs w:val="18"/>
              </w:rPr>
              <w:t>Tier</w:t>
            </w:r>
          </w:p>
        </w:tc>
        <w:tc>
          <w:tcPr>
            <w:tcW w:w="770" w:type="dxa"/>
            <w:tcBorders>
              <w:top w:val="single" w:sz="3" w:space="0" w:color="1F497D"/>
              <w:left w:val="single" w:sz="3" w:space="0" w:color="1F497D"/>
              <w:bottom w:val="single" w:sz="3" w:space="0" w:color="1F497D"/>
              <w:right w:val="single" w:sz="3" w:space="0" w:color="1F497D"/>
            </w:tcBorders>
            <w:shd w:val="clear" w:color="auto" w:fill="1F497D"/>
            <w:tcMar>
              <w:top w:w="60" w:type="dxa"/>
              <w:left w:w="100" w:type="dxa"/>
              <w:bottom w:w="60" w:type="dxa"/>
              <w:right w:w="100" w:type="dxa"/>
            </w:tcMar>
          </w:tcPr>
          <w:p w14:paraId="78ECD069" w14:textId="77777777" w:rsidR="00091D70" w:rsidRDefault="00000000">
            <w:pPr>
              <w:jc w:val="center"/>
            </w:pPr>
            <w:r>
              <w:rPr>
                <w:b/>
                <w:bCs/>
                <w:color w:val="FFFFFF"/>
                <w:sz w:val="18"/>
                <w:szCs w:val="18"/>
              </w:rPr>
              <w:t>Macro-F1</w:t>
            </w:r>
          </w:p>
        </w:tc>
        <w:tc>
          <w:tcPr>
            <w:tcW w:w="1517" w:type="dxa"/>
            <w:tcBorders>
              <w:top w:val="single" w:sz="3" w:space="0" w:color="1F497D"/>
              <w:left w:val="single" w:sz="3" w:space="0" w:color="1F497D"/>
              <w:bottom w:val="single" w:sz="3" w:space="0" w:color="1F497D"/>
              <w:right w:val="single" w:sz="3" w:space="0" w:color="1F497D"/>
            </w:tcBorders>
            <w:shd w:val="clear" w:color="auto" w:fill="1F497D"/>
            <w:tcMar>
              <w:top w:w="60" w:type="dxa"/>
              <w:left w:w="100" w:type="dxa"/>
              <w:bottom w:w="60" w:type="dxa"/>
              <w:right w:w="100" w:type="dxa"/>
            </w:tcMar>
          </w:tcPr>
          <w:p w14:paraId="3004424F" w14:textId="77777777" w:rsidR="00091D70" w:rsidRDefault="00000000">
            <w:pPr>
              <w:jc w:val="center"/>
            </w:pPr>
            <w:r>
              <w:rPr>
                <w:b/>
                <w:bCs/>
                <w:color w:val="FFFFFF"/>
                <w:sz w:val="18"/>
                <w:szCs w:val="18"/>
              </w:rPr>
              <w:t>NEG / NEU / POS F1</w:t>
            </w:r>
          </w:p>
        </w:tc>
      </w:tr>
      <w:tr w:rsidR="00091D70" w14:paraId="4C133AE3" w14:textId="77777777" w:rsidTr="00080266">
        <w:tc>
          <w:tcPr>
            <w:tcW w:w="1399"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3020A647" w14:textId="77777777" w:rsidR="00091D70" w:rsidRDefault="00000000">
            <w:r>
              <w:rPr>
                <w:sz w:val="18"/>
                <w:szCs w:val="18"/>
              </w:rPr>
              <w:t>VADER</w:t>
            </w:r>
          </w:p>
        </w:tc>
        <w:tc>
          <w:tcPr>
            <w:tcW w:w="113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6F97B00E" w14:textId="77777777" w:rsidR="00091D70" w:rsidRDefault="00000000">
            <w:pPr>
              <w:jc w:val="center"/>
            </w:pPr>
            <w:r>
              <w:rPr>
                <w:sz w:val="18"/>
                <w:szCs w:val="18"/>
              </w:rPr>
              <w:t>Zero-Shot</w:t>
            </w:r>
          </w:p>
        </w:tc>
        <w:tc>
          <w:tcPr>
            <w:tcW w:w="77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294A071E" w14:textId="77777777" w:rsidR="00091D70" w:rsidRDefault="00000000">
            <w:pPr>
              <w:jc w:val="center"/>
            </w:pPr>
            <w:r>
              <w:rPr>
                <w:sz w:val="18"/>
                <w:szCs w:val="18"/>
              </w:rPr>
              <w:t>0.3827</w:t>
            </w:r>
          </w:p>
        </w:tc>
        <w:tc>
          <w:tcPr>
            <w:tcW w:w="1517"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17FFD175" w14:textId="77777777" w:rsidR="00091D70" w:rsidRDefault="00000000">
            <w:pPr>
              <w:jc w:val="center"/>
            </w:pPr>
            <w:r>
              <w:rPr>
                <w:sz w:val="18"/>
                <w:szCs w:val="18"/>
              </w:rPr>
              <w:t>0.10 / 0.73 / 0.32</w:t>
            </w:r>
          </w:p>
        </w:tc>
      </w:tr>
      <w:tr w:rsidR="00091D70" w14:paraId="0A43B005" w14:textId="77777777" w:rsidTr="00080266">
        <w:tc>
          <w:tcPr>
            <w:tcW w:w="1399"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18C6F7F3" w14:textId="77777777" w:rsidR="00091D70" w:rsidRDefault="00000000">
            <w:r>
              <w:rPr>
                <w:sz w:val="18"/>
                <w:szCs w:val="18"/>
              </w:rPr>
              <w:t>TextBlob</w:t>
            </w:r>
          </w:p>
        </w:tc>
        <w:tc>
          <w:tcPr>
            <w:tcW w:w="113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2422E4D2" w14:textId="77777777" w:rsidR="00091D70" w:rsidRDefault="00000000">
            <w:pPr>
              <w:jc w:val="center"/>
            </w:pPr>
            <w:r>
              <w:rPr>
                <w:sz w:val="18"/>
                <w:szCs w:val="18"/>
              </w:rPr>
              <w:t>Zero-Shot</w:t>
            </w:r>
          </w:p>
        </w:tc>
        <w:tc>
          <w:tcPr>
            <w:tcW w:w="77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69B100F6" w14:textId="77777777" w:rsidR="00091D70" w:rsidRDefault="00000000">
            <w:pPr>
              <w:jc w:val="center"/>
            </w:pPr>
            <w:r>
              <w:rPr>
                <w:sz w:val="18"/>
                <w:szCs w:val="18"/>
              </w:rPr>
              <w:t>0.3747</w:t>
            </w:r>
          </w:p>
        </w:tc>
        <w:tc>
          <w:tcPr>
            <w:tcW w:w="1517"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467ED1CE" w14:textId="77777777" w:rsidR="00091D70" w:rsidRDefault="00000000">
            <w:pPr>
              <w:jc w:val="center"/>
            </w:pPr>
            <w:r>
              <w:rPr>
                <w:sz w:val="18"/>
                <w:szCs w:val="18"/>
              </w:rPr>
              <w:t>0.09 / 0.76 / 0.28</w:t>
            </w:r>
          </w:p>
        </w:tc>
      </w:tr>
      <w:tr w:rsidR="00091D70" w14:paraId="1B5D7342" w14:textId="77777777" w:rsidTr="00080266">
        <w:tc>
          <w:tcPr>
            <w:tcW w:w="1399"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61C45DAC" w14:textId="77777777" w:rsidR="00091D70" w:rsidRDefault="00000000">
            <w:r>
              <w:rPr>
                <w:sz w:val="18"/>
                <w:szCs w:val="18"/>
              </w:rPr>
              <w:t>pysentimiento</w:t>
            </w:r>
          </w:p>
        </w:tc>
        <w:tc>
          <w:tcPr>
            <w:tcW w:w="113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454A6F9E" w14:textId="77777777" w:rsidR="00091D70" w:rsidRDefault="00000000">
            <w:pPr>
              <w:jc w:val="center"/>
            </w:pPr>
            <w:r>
              <w:rPr>
                <w:sz w:val="18"/>
                <w:szCs w:val="18"/>
              </w:rPr>
              <w:t>Zero-Shot</w:t>
            </w:r>
          </w:p>
        </w:tc>
        <w:tc>
          <w:tcPr>
            <w:tcW w:w="77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53A8DBF6" w14:textId="77777777" w:rsidR="00091D70" w:rsidRDefault="00000000">
            <w:pPr>
              <w:jc w:val="center"/>
            </w:pPr>
            <w:r>
              <w:rPr>
                <w:sz w:val="18"/>
                <w:szCs w:val="18"/>
              </w:rPr>
              <w:t>0.4778</w:t>
            </w:r>
          </w:p>
        </w:tc>
        <w:tc>
          <w:tcPr>
            <w:tcW w:w="1517"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100B44DC" w14:textId="77777777" w:rsidR="00091D70" w:rsidRDefault="00000000">
            <w:pPr>
              <w:jc w:val="center"/>
            </w:pPr>
            <w:r>
              <w:rPr>
                <w:sz w:val="18"/>
                <w:szCs w:val="18"/>
              </w:rPr>
              <w:t>0.13 / 0.83 / 0.47</w:t>
            </w:r>
          </w:p>
        </w:tc>
      </w:tr>
      <w:tr w:rsidR="00091D70" w14:paraId="5098446C" w14:textId="77777777" w:rsidTr="00080266">
        <w:tc>
          <w:tcPr>
            <w:tcW w:w="1399"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6B1B5B74" w14:textId="77777777" w:rsidR="00091D70" w:rsidRDefault="00000000">
            <w:r>
              <w:rPr>
                <w:sz w:val="18"/>
                <w:szCs w:val="18"/>
              </w:rPr>
              <w:t>SentiLexM</w:t>
            </w:r>
          </w:p>
        </w:tc>
        <w:tc>
          <w:tcPr>
            <w:tcW w:w="113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13905EFD" w14:textId="77777777" w:rsidR="00091D70" w:rsidRDefault="00000000">
            <w:pPr>
              <w:jc w:val="center"/>
            </w:pPr>
            <w:r>
              <w:rPr>
                <w:sz w:val="18"/>
                <w:szCs w:val="18"/>
              </w:rPr>
              <w:t>Zero-Shot</w:t>
            </w:r>
          </w:p>
        </w:tc>
        <w:tc>
          <w:tcPr>
            <w:tcW w:w="77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2498CE7A" w14:textId="77777777" w:rsidR="00091D70" w:rsidRDefault="00000000">
            <w:pPr>
              <w:jc w:val="center"/>
            </w:pPr>
            <w:r>
              <w:rPr>
                <w:sz w:val="18"/>
                <w:szCs w:val="18"/>
              </w:rPr>
              <w:t>0.4053</w:t>
            </w:r>
          </w:p>
        </w:tc>
        <w:tc>
          <w:tcPr>
            <w:tcW w:w="1517"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1535EB80" w14:textId="77777777" w:rsidR="00091D70" w:rsidRDefault="00000000">
            <w:pPr>
              <w:jc w:val="center"/>
            </w:pPr>
            <w:r>
              <w:rPr>
                <w:sz w:val="18"/>
                <w:szCs w:val="18"/>
              </w:rPr>
              <w:t>0.36 / 0.55 / 0.31</w:t>
            </w:r>
          </w:p>
        </w:tc>
      </w:tr>
      <w:tr w:rsidR="00091D70" w14:paraId="5E9A2409" w14:textId="77777777" w:rsidTr="00080266">
        <w:tc>
          <w:tcPr>
            <w:tcW w:w="1399"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7C85C28A" w14:textId="77777777" w:rsidR="00091D70" w:rsidRDefault="00000000">
            <w:r>
              <w:rPr>
                <w:sz w:val="18"/>
                <w:szCs w:val="18"/>
              </w:rPr>
              <w:t>MELex</w:t>
            </w:r>
          </w:p>
        </w:tc>
        <w:tc>
          <w:tcPr>
            <w:tcW w:w="113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32852A22" w14:textId="77777777" w:rsidR="00091D70" w:rsidRDefault="00000000">
            <w:pPr>
              <w:jc w:val="center"/>
            </w:pPr>
            <w:r>
              <w:rPr>
                <w:sz w:val="18"/>
                <w:szCs w:val="18"/>
              </w:rPr>
              <w:t>Zero-Shot</w:t>
            </w:r>
          </w:p>
        </w:tc>
        <w:tc>
          <w:tcPr>
            <w:tcW w:w="77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39AE39E3" w14:textId="77777777" w:rsidR="00091D70" w:rsidRDefault="00000000">
            <w:pPr>
              <w:jc w:val="center"/>
            </w:pPr>
            <w:r>
              <w:rPr>
                <w:sz w:val="18"/>
                <w:szCs w:val="18"/>
              </w:rPr>
              <w:t>0.2811</w:t>
            </w:r>
          </w:p>
        </w:tc>
        <w:tc>
          <w:tcPr>
            <w:tcW w:w="1517"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6BEF83A4" w14:textId="77777777" w:rsidR="00091D70" w:rsidRDefault="00000000">
            <w:pPr>
              <w:jc w:val="center"/>
            </w:pPr>
            <w:r>
              <w:rPr>
                <w:sz w:val="18"/>
                <w:szCs w:val="18"/>
              </w:rPr>
              <w:t>0.21 / 0.41 / 0.22</w:t>
            </w:r>
          </w:p>
        </w:tc>
      </w:tr>
      <w:tr w:rsidR="00091D70" w14:paraId="1820A1D3" w14:textId="77777777" w:rsidTr="00080266">
        <w:tc>
          <w:tcPr>
            <w:tcW w:w="1399"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5A65580B" w14:textId="77777777" w:rsidR="00091D70" w:rsidRDefault="00000000">
            <w:r>
              <w:rPr>
                <w:sz w:val="18"/>
                <w:szCs w:val="18"/>
              </w:rPr>
              <w:t>TF-IDF + LinearSVC</w:t>
            </w:r>
          </w:p>
        </w:tc>
        <w:tc>
          <w:tcPr>
            <w:tcW w:w="113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7CEF719D" w14:textId="77777777" w:rsidR="00091D70" w:rsidRDefault="00000000">
            <w:pPr>
              <w:jc w:val="center"/>
            </w:pPr>
            <w:r>
              <w:rPr>
                <w:sz w:val="18"/>
                <w:szCs w:val="18"/>
              </w:rPr>
              <w:t>Classical ML</w:t>
            </w:r>
          </w:p>
        </w:tc>
        <w:tc>
          <w:tcPr>
            <w:tcW w:w="77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08E68927" w14:textId="77777777" w:rsidR="00091D70" w:rsidRDefault="00000000">
            <w:pPr>
              <w:jc w:val="center"/>
            </w:pPr>
            <w:r>
              <w:rPr>
                <w:sz w:val="18"/>
                <w:szCs w:val="18"/>
              </w:rPr>
              <w:t>0.6407</w:t>
            </w:r>
          </w:p>
        </w:tc>
        <w:tc>
          <w:tcPr>
            <w:tcW w:w="1517"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0F284D0D" w14:textId="77777777" w:rsidR="00091D70" w:rsidRDefault="00000000">
            <w:pPr>
              <w:jc w:val="center"/>
            </w:pPr>
            <w:r>
              <w:rPr>
                <w:sz w:val="18"/>
                <w:szCs w:val="18"/>
              </w:rPr>
              <w:t>0.63 / 0.82 / 0.47</w:t>
            </w:r>
          </w:p>
        </w:tc>
      </w:tr>
      <w:tr w:rsidR="00091D70" w14:paraId="361DF0F2" w14:textId="77777777" w:rsidTr="00080266">
        <w:tc>
          <w:tcPr>
            <w:tcW w:w="1399"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36ECD4AC" w14:textId="77777777" w:rsidR="00091D70" w:rsidRDefault="00000000">
            <w:r>
              <w:rPr>
                <w:sz w:val="18"/>
                <w:szCs w:val="18"/>
              </w:rPr>
              <w:t>XLM-R (v2)</w:t>
            </w:r>
          </w:p>
        </w:tc>
        <w:tc>
          <w:tcPr>
            <w:tcW w:w="113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36A7AD17" w14:textId="77777777" w:rsidR="00091D70" w:rsidRDefault="00000000">
            <w:pPr>
              <w:jc w:val="center"/>
            </w:pPr>
            <w:r>
              <w:rPr>
                <w:sz w:val="18"/>
                <w:szCs w:val="18"/>
              </w:rPr>
              <w:t>Transformer</w:t>
            </w:r>
          </w:p>
        </w:tc>
        <w:tc>
          <w:tcPr>
            <w:tcW w:w="77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59A826B1" w14:textId="77777777" w:rsidR="00091D70" w:rsidRDefault="00000000">
            <w:pPr>
              <w:jc w:val="center"/>
            </w:pPr>
            <w:r>
              <w:rPr>
                <w:sz w:val="18"/>
                <w:szCs w:val="18"/>
              </w:rPr>
              <w:t>0.6587</w:t>
            </w:r>
          </w:p>
        </w:tc>
        <w:tc>
          <w:tcPr>
            <w:tcW w:w="1517"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22E13E40" w14:textId="77777777" w:rsidR="00091D70" w:rsidRDefault="00000000">
            <w:pPr>
              <w:jc w:val="center"/>
            </w:pPr>
            <w:r>
              <w:rPr>
                <w:sz w:val="18"/>
                <w:szCs w:val="18"/>
              </w:rPr>
              <w:t>0.63 / 0.78 / 0.57</w:t>
            </w:r>
          </w:p>
        </w:tc>
      </w:tr>
      <w:tr w:rsidR="00091D70" w14:paraId="1074EACA" w14:textId="77777777" w:rsidTr="00080266">
        <w:tc>
          <w:tcPr>
            <w:tcW w:w="1399"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35B149A2" w14:textId="77777777" w:rsidR="00091D70" w:rsidRDefault="00000000">
            <w:r>
              <w:rPr>
                <w:sz w:val="18"/>
                <w:szCs w:val="18"/>
              </w:rPr>
              <w:t>XLM-R (weighted)</w:t>
            </w:r>
          </w:p>
        </w:tc>
        <w:tc>
          <w:tcPr>
            <w:tcW w:w="113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6D629DE5" w14:textId="77777777" w:rsidR="00091D70" w:rsidRDefault="00000000">
            <w:pPr>
              <w:jc w:val="center"/>
            </w:pPr>
            <w:r>
              <w:rPr>
                <w:sz w:val="18"/>
                <w:szCs w:val="18"/>
              </w:rPr>
              <w:t>Transformer</w:t>
            </w:r>
          </w:p>
        </w:tc>
        <w:tc>
          <w:tcPr>
            <w:tcW w:w="77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7B50566B" w14:textId="77777777" w:rsidR="00091D70" w:rsidRDefault="00000000">
            <w:pPr>
              <w:jc w:val="center"/>
            </w:pPr>
            <w:r>
              <w:rPr>
                <w:sz w:val="18"/>
                <w:szCs w:val="18"/>
              </w:rPr>
              <w:t>0.6677</w:t>
            </w:r>
          </w:p>
        </w:tc>
        <w:tc>
          <w:tcPr>
            <w:tcW w:w="1517"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54104D5E" w14:textId="77777777" w:rsidR="00091D70" w:rsidRDefault="00000000">
            <w:pPr>
              <w:jc w:val="center"/>
            </w:pPr>
            <w:r>
              <w:rPr>
                <w:sz w:val="18"/>
                <w:szCs w:val="18"/>
              </w:rPr>
              <w:t>0.63 / 0.83 / 0.55</w:t>
            </w:r>
          </w:p>
        </w:tc>
      </w:tr>
      <w:tr w:rsidR="00091D70" w14:paraId="458422DF" w14:textId="77777777" w:rsidTr="00080266">
        <w:tc>
          <w:tcPr>
            <w:tcW w:w="1399"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7060007A" w14:textId="77777777" w:rsidR="00091D70" w:rsidRDefault="00000000">
            <w:r>
              <w:rPr>
                <w:b/>
                <w:bCs/>
                <w:sz w:val="18"/>
                <w:szCs w:val="18"/>
              </w:rPr>
              <w:t>XLM-R Focal γ=1.0 ★</w:t>
            </w:r>
          </w:p>
        </w:tc>
        <w:tc>
          <w:tcPr>
            <w:tcW w:w="113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2DFF31E5" w14:textId="77777777" w:rsidR="00091D70" w:rsidRDefault="00000000">
            <w:pPr>
              <w:jc w:val="center"/>
            </w:pPr>
            <w:r>
              <w:rPr>
                <w:sz w:val="18"/>
                <w:szCs w:val="18"/>
              </w:rPr>
              <w:t>Transformer</w:t>
            </w:r>
          </w:p>
        </w:tc>
        <w:tc>
          <w:tcPr>
            <w:tcW w:w="77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3229F57C" w14:textId="77777777" w:rsidR="00091D70" w:rsidRDefault="00000000">
            <w:pPr>
              <w:jc w:val="center"/>
            </w:pPr>
            <w:r>
              <w:rPr>
                <w:b/>
                <w:bCs/>
                <w:sz w:val="18"/>
                <w:szCs w:val="18"/>
              </w:rPr>
              <w:t>0.6841</w:t>
            </w:r>
          </w:p>
        </w:tc>
        <w:tc>
          <w:tcPr>
            <w:tcW w:w="1517"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0EBB60FA" w14:textId="77777777" w:rsidR="00091D70" w:rsidRDefault="00000000">
            <w:pPr>
              <w:jc w:val="center"/>
            </w:pPr>
            <w:r>
              <w:rPr>
                <w:sz w:val="18"/>
                <w:szCs w:val="18"/>
              </w:rPr>
              <w:t>0.64 / 0.82 / 0.60</w:t>
            </w:r>
          </w:p>
        </w:tc>
      </w:tr>
      <w:tr w:rsidR="00091D70" w14:paraId="2D1D7092" w14:textId="77777777" w:rsidTr="00080266">
        <w:tc>
          <w:tcPr>
            <w:tcW w:w="1399"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793AACDC" w14:textId="77777777" w:rsidR="00091D70" w:rsidRDefault="00000000">
            <w:r>
              <w:rPr>
                <w:sz w:val="18"/>
                <w:szCs w:val="18"/>
              </w:rPr>
              <w:t>XLM-R Focal γ=2.0</w:t>
            </w:r>
          </w:p>
        </w:tc>
        <w:tc>
          <w:tcPr>
            <w:tcW w:w="113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5B066AAF" w14:textId="77777777" w:rsidR="00091D70" w:rsidRDefault="00000000">
            <w:pPr>
              <w:jc w:val="center"/>
            </w:pPr>
            <w:r>
              <w:rPr>
                <w:sz w:val="18"/>
                <w:szCs w:val="18"/>
              </w:rPr>
              <w:t>Transformer</w:t>
            </w:r>
          </w:p>
        </w:tc>
        <w:tc>
          <w:tcPr>
            <w:tcW w:w="77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203791AB" w14:textId="77777777" w:rsidR="00091D70" w:rsidRDefault="00000000">
            <w:pPr>
              <w:jc w:val="center"/>
            </w:pPr>
            <w:r>
              <w:rPr>
                <w:sz w:val="18"/>
                <w:szCs w:val="18"/>
              </w:rPr>
              <w:t>0.6792</w:t>
            </w:r>
          </w:p>
        </w:tc>
        <w:tc>
          <w:tcPr>
            <w:tcW w:w="1517"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0EDC1BA6" w14:textId="77777777" w:rsidR="00091D70" w:rsidRDefault="00000000">
            <w:pPr>
              <w:jc w:val="center"/>
            </w:pPr>
            <w:r>
              <w:rPr>
                <w:sz w:val="18"/>
                <w:szCs w:val="18"/>
              </w:rPr>
              <w:t>0.64 / 0.81 / 0.59</w:t>
            </w:r>
          </w:p>
        </w:tc>
      </w:tr>
      <w:tr w:rsidR="00091D70" w14:paraId="2B8B5EF3" w14:textId="77777777" w:rsidTr="00080266">
        <w:tc>
          <w:tcPr>
            <w:tcW w:w="1399"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5D744C88" w14:textId="77777777" w:rsidR="00091D70" w:rsidRDefault="00000000">
            <w:r>
              <w:rPr>
                <w:sz w:val="18"/>
                <w:szCs w:val="18"/>
              </w:rPr>
              <w:t>XLM-T</w:t>
            </w:r>
          </w:p>
        </w:tc>
        <w:tc>
          <w:tcPr>
            <w:tcW w:w="113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51A8DFC9" w14:textId="77777777" w:rsidR="00091D70" w:rsidRDefault="00000000">
            <w:pPr>
              <w:jc w:val="center"/>
            </w:pPr>
            <w:r>
              <w:rPr>
                <w:sz w:val="18"/>
                <w:szCs w:val="18"/>
              </w:rPr>
              <w:t>Transformer</w:t>
            </w:r>
          </w:p>
        </w:tc>
        <w:tc>
          <w:tcPr>
            <w:tcW w:w="77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569E0ED0" w14:textId="77777777" w:rsidR="00091D70" w:rsidRDefault="00000000">
            <w:pPr>
              <w:jc w:val="center"/>
            </w:pPr>
            <w:r>
              <w:rPr>
                <w:sz w:val="18"/>
                <w:szCs w:val="18"/>
              </w:rPr>
              <w:t>0.6782</w:t>
            </w:r>
          </w:p>
        </w:tc>
        <w:tc>
          <w:tcPr>
            <w:tcW w:w="1517"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08AB37E1" w14:textId="77777777" w:rsidR="00091D70" w:rsidRDefault="00000000">
            <w:pPr>
              <w:jc w:val="center"/>
            </w:pPr>
            <w:r>
              <w:rPr>
                <w:sz w:val="18"/>
                <w:szCs w:val="18"/>
              </w:rPr>
              <w:t>0.63 / 0.80 / 0.61</w:t>
            </w:r>
          </w:p>
        </w:tc>
      </w:tr>
      <w:tr w:rsidR="00091D70" w14:paraId="0E1F7FDF" w14:textId="77777777" w:rsidTr="00080266">
        <w:tc>
          <w:tcPr>
            <w:tcW w:w="1399"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1CC64A33" w14:textId="77777777" w:rsidR="00091D70" w:rsidRDefault="00000000">
            <w:r>
              <w:rPr>
                <w:sz w:val="18"/>
                <w:szCs w:val="18"/>
              </w:rPr>
              <w:t>mDeBERTa-v3</w:t>
            </w:r>
          </w:p>
        </w:tc>
        <w:tc>
          <w:tcPr>
            <w:tcW w:w="113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7E1949A9" w14:textId="77777777" w:rsidR="00091D70" w:rsidRDefault="00000000">
            <w:pPr>
              <w:jc w:val="center"/>
            </w:pPr>
            <w:r>
              <w:rPr>
                <w:sz w:val="18"/>
                <w:szCs w:val="18"/>
              </w:rPr>
              <w:t>Transformer</w:t>
            </w:r>
          </w:p>
        </w:tc>
        <w:tc>
          <w:tcPr>
            <w:tcW w:w="770"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2B2BCF02" w14:textId="77777777" w:rsidR="00091D70" w:rsidRDefault="00000000">
            <w:pPr>
              <w:jc w:val="center"/>
            </w:pPr>
            <w:r>
              <w:rPr>
                <w:sz w:val="18"/>
                <w:szCs w:val="18"/>
              </w:rPr>
              <w:t>0.6223</w:t>
            </w:r>
          </w:p>
        </w:tc>
        <w:tc>
          <w:tcPr>
            <w:tcW w:w="1517" w:type="dxa"/>
            <w:tcBorders>
              <w:top w:val="single" w:sz="3" w:space="0" w:color="AAAAAA"/>
              <w:left w:val="single" w:sz="3" w:space="0" w:color="AAAAAA"/>
              <w:bottom w:val="single" w:sz="3" w:space="0" w:color="AAAAAA"/>
              <w:right w:val="single" w:sz="3" w:space="0" w:color="AAAAAA"/>
            </w:tcBorders>
            <w:shd w:val="clear" w:color="auto" w:fill="F2F2F2"/>
            <w:tcMar>
              <w:top w:w="60" w:type="dxa"/>
              <w:left w:w="100" w:type="dxa"/>
              <w:bottom w:w="60" w:type="dxa"/>
              <w:right w:w="100" w:type="dxa"/>
            </w:tcMar>
          </w:tcPr>
          <w:p w14:paraId="4AB147E2" w14:textId="77777777" w:rsidR="00091D70" w:rsidRDefault="00000000">
            <w:pPr>
              <w:jc w:val="center"/>
            </w:pPr>
            <w:r>
              <w:rPr>
                <w:sz w:val="18"/>
                <w:szCs w:val="18"/>
              </w:rPr>
              <w:t>0.62 / 0.79 / 0.46</w:t>
            </w:r>
          </w:p>
        </w:tc>
      </w:tr>
      <w:tr w:rsidR="00091D70" w14:paraId="2D2152E7" w14:textId="77777777" w:rsidTr="00080266">
        <w:tc>
          <w:tcPr>
            <w:tcW w:w="1399"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69794E86" w14:textId="77777777" w:rsidR="00091D70" w:rsidRDefault="00000000">
            <w:r>
              <w:rPr>
                <w:sz w:val="18"/>
                <w:szCs w:val="18"/>
              </w:rPr>
              <w:t>XLM-R (denoised)</w:t>
            </w:r>
          </w:p>
        </w:tc>
        <w:tc>
          <w:tcPr>
            <w:tcW w:w="113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6DC65394" w14:textId="77777777" w:rsidR="00091D70" w:rsidRDefault="00000000">
            <w:pPr>
              <w:jc w:val="center"/>
            </w:pPr>
            <w:r>
              <w:rPr>
                <w:sz w:val="18"/>
                <w:szCs w:val="18"/>
              </w:rPr>
              <w:t>Transformer</w:t>
            </w:r>
          </w:p>
        </w:tc>
        <w:tc>
          <w:tcPr>
            <w:tcW w:w="770"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6C8139FE" w14:textId="77777777" w:rsidR="00091D70" w:rsidRDefault="00000000">
            <w:pPr>
              <w:jc w:val="center"/>
            </w:pPr>
            <w:r>
              <w:rPr>
                <w:sz w:val="18"/>
                <w:szCs w:val="18"/>
              </w:rPr>
              <w:t>0.6305</w:t>
            </w:r>
          </w:p>
        </w:tc>
        <w:tc>
          <w:tcPr>
            <w:tcW w:w="1517" w:type="dxa"/>
            <w:tcBorders>
              <w:top w:val="single" w:sz="3" w:space="0" w:color="AAAAAA"/>
              <w:left w:val="single" w:sz="3" w:space="0" w:color="AAAAAA"/>
              <w:bottom w:val="single" w:sz="3" w:space="0" w:color="AAAAAA"/>
              <w:right w:val="single" w:sz="3" w:space="0" w:color="AAAAAA"/>
            </w:tcBorders>
            <w:tcMar>
              <w:top w:w="60" w:type="dxa"/>
              <w:left w:w="100" w:type="dxa"/>
              <w:bottom w:w="60" w:type="dxa"/>
              <w:right w:w="100" w:type="dxa"/>
            </w:tcMar>
          </w:tcPr>
          <w:p w14:paraId="349AAE66" w14:textId="77777777" w:rsidR="00091D70" w:rsidRDefault="00000000">
            <w:pPr>
              <w:jc w:val="center"/>
            </w:pPr>
            <w:r>
              <w:rPr>
                <w:sz w:val="18"/>
                <w:szCs w:val="18"/>
              </w:rPr>
              <w:t>0.63 / 0.75 / 0.52</w:t>
            </w:r>
          </w:p>
        </w:tc>
      </w:tr>
    </w:tbl>
    <w:p w14:paraId="72762535" w14:textId="77777777" w:rsidR="00091D70" w:rsidRDefault="00000000">
      <w:pPr>
        <w:spacing w:before="40" w:after="120"/>
        <w:jc w:val="both"/>
      </w:pPr>
      <w:r>
        <w:t>★ Best overall. Zero-shot results and XLM-R (weighted) evaluated on the original n=2,000 test set (v1 results, not directly comparable to n=1,700 rows); all remaining models on n=1,700 clean set. pysentimiento is a zero-shot neural classifier (fine-tuned RoBERTa), not a rule-based lexicon.</w:t>
      </w:r>
    </w:p>
    <w:p w14:paraId="397E526C" w14:textId="77777777" w:rsidR="00091D70" w:rsidRDefault="00000000">
      <w:pPr>
        <w:spacing w:before="140" w:after="60"/>
      </w:pPr>
      <w:r>
        <w:rPr>
          <w:b/>
          <w:bCs/>
        </w:rPr>
        <w:t>B. The Zero-Shot–Supervised Gap</w:t>
      </w:r>
    </w:p>
    <w:p w14:paraId="3E2CCFED" w14:textId="77777777" w:rsidR="00091D70" w:rsidRDefault="00000000">
      <w:pPr>
        <w:spacing w:after="100"/>
        <w:jc w:val="both"/>
      </w:pPr>
      <w:r>
        <w:t>The transition from the best zero-shot baseline (pysentimiento, 0.4778) to the SVM (0.6407) represents a +0.1629 absolute improvement (34.1% relative improvement over the best zero-shot baseline), the largest single gap in the benchmark. This finding challenges the intuitive assumption that transformer architectures are the dominant factor in this task: labelled training data provides far greater leverage than model architecture at this data scale. VADER and TextBlob collapse on the Negative class (recall ≤ 6.7%) because Malay negation particles—tidak, tak, jangan, bukan—are entirely absent from English-centric lexicons.</w:t>
      </w:r>
    </w:p>
    <w:p w14:paraId="58319701" w14:textId="77777777" w:rsidR="00091D70" w:rsidRDefault="00000000">
      <w:pPr>
        <w:spacing w:before="140" w:after="60"/>
      </w:pPr>
      <w:r>
        <w:rPr>
          <w:b/>
          <w:bCs/>
        </w:rPr>
        <w:t>C. The Transformer–SVM Gap</w:t>
      </w:r>
    </w:p>
    <w:p w14:paraId="017AEE63" w14:textId="77777777" w:rsidR="00091D70" w:rsidRDefault="00000000">
      <w:pPr>
        <w:spacing w:before="60" w:after="100"/>
        <w:jc w:val="both"/>
      </w:pPr>
      <w:r>
        <w:t>The transition from SVM to standard XLM-R (+0.018, approximately +2.8% relative) is markedly smaller. Three factors likely contribute to this modest gain: the training set (9,906 samples) is small for a 278M-parameter model; the 33.8% training label noise limits what any model can learn; and the SVM, trained with class_weight=‘balanced’, already captures Malay function words as discriminative bigram features.</w:t>
      </w:r>
    </w:p>
    <w:p w14:paraId="64180A74" w14:textId="77777777" w:rsidR="00091D70" w:rsidRDefault="00000000">
      <w:pPr>
        <w:spacing w:before="60" w:after="100"/>
        <w:jc w:val="both"/>
      </w:pPr>
      <w:r>
        <w:t xml:space="preserve">To verify that this gap is not a single-seed artefact, XLM-R was run across three seeds (42, 123, 456), yielding mean Macro-F1 = 0.6637 ± 0.0081 (95% CI [0.6436, 0.6838]). The CI lower bound (0.6436) lies comfortably </w:t>
        <w:lastRenderedPageBreak/>
        <w:t>above the SVM baseline (0.6407), confirming that the transformer advantage is directionally consistent, though the margin is modest. A class-weighted XLM-R variant (Δ = −0.0009) confirms that the SVM’s class-weighting advantage does not account for the gap.</w:t>
      </w:r>
    </w:p>
    <w:p w14:paraId="0955F0B7" w14:textId="77777777" w:rsidR="00091D70" w:rsidRDefault="00000000">
      <w:pPr>
        <w:spacing w:before="140" w:after="60"/>
      </w:pPr>
      <w:r>
        <w:rPr>
          <w:b/>
          <w:bCs/>
        </w:rPr>
        <w:t>D. Focal Loss and Multi-Seed Stability</w:t>
      </w:r>
    </w:p>
    <w:p w14:paraId="410062FD" w14:textId="77777777" w:rsidR="00091D70" w:rsidRDefault="00000000">
      <w:pPr>
        <w:spacing w:before="60" w:after="100"/>
        <w:jc w:val="both"/>
      </w:pPr>
      <w:r>
        <w:t>Focal Loss (γ=1.0) achieves the highest single-run result (0.6841) and a multi-seed mean of 0.6748 ± 0.0034 (95% CI [0.6664, 0.6832]), exceeding the standard XLM-R mean by +0.0111 across all three seeds. The Positive-class F1 improves from 0.5697 (XLM-R v2, single run) to 0.5956 (Focal γ=1.0, single run), consistent with adaptive gradient modulation directing additional learning capacity toward the minority class. Note on training-set provenance: an initial multi-seed run used raw TRAIN_CSV (10,863 rows, pre-deduplication), producing CI [0.6429, 0.7058]. The notebook was corrected to use train_split.csv (n = 8,915 — the same 90% deduplicated split used by all other v2 experiments) and re-run. The corrected CI [0.6664, 0.6832] is reported above. The CI lower bound (0.6664) lies well above the SVM baseline (0.6407), confirming the transformer advantage is statistically robust (gap = +0.0257 across three seeds).</w:t>
      </w:r>
    </w:p>
    <w:p w14:paraId="46E25AD4" w14:textId="77777777" w:rsidR="00091D70" w:rsidRDefault="00000000">
      <w:pPr>
        <w:spacing w:before="140" w:after="60"/>
      </w:pPr>
      <w:r>
        <w:rPr>
          <w:b/>
          <w:bCs/>
        </w:rPr>
        <w:t>E. LLM-Assisted Label Denoising</w:t>
      </w:r>
    </w:p>
    <w:p w14:paraId="74C34576" w14:textId="77777777" w:rsidR="00091D70" w:rsidRDefault="00000000">
      <w:pPr>
        <w:spacing w:before="60" w:after="100"/>
        <w:jc w:val="both"/>
      </w:pPr>
      <w:r>
        <w:t>To assess whether targeted label correction could reduce the 33.8% noise rate, Claude Sonnet 4.6 was applied to the 1,500 highest-entropy training samples (15.1% of the 9,906-sample training corpus; 16.8% of the 8,915-sample post-dedup/split pool used in this notebook), selected by the output entropy of the fine-tuned XLM-R v2 model. The model changed 459 of 1,500 labels (30.6%). Retraining on the modified dataset produced Macro-F1 = 0.6305 (Δ = −0.0282 vs. the XLM-R v2 baseline). This null result is consistent with two explanations: high-entropy samples are inherently ambiguous, so the LLM relabelling redistributes noise rather than correcting it; and the LLM annotator itself achieves only 0.600 Macro-F1 in a direct few-shot evaluation on the gold test set, making it an unreliable oracle for samples the fine-tuned model already found difficult.</w:t>
      </w:r>
    </w:p>
    <w:p w14:paraId="024CC6E4" w14:textId="77777777" w:rsidR="00091D70" w:rsidRDefault="00000000">
      <w:pPr>
        <w:spacing w:before="140" w:after="60"/>
      </w:pPr>
      <w:r>
        <w:rPr>
          <w:b/>
          <w:bCs/>
        </w:rPr>
        <w:t>F. mDeBERTa-v3 Failure Analysis</w:t>
      </w:r>
    </w:p>
    <w:p w14:paraId="5676D897" w14:textId="77777777" w:rsidR="00091D70" w:rsidRDefault="00000000">
      <w:pPr>
        <w:spacing w:before="60" w:after="100"/>
        <w:jc w:val="both"/>
      </w:pPr>
      <w:r>
        <w:t>mDeBERTa-v3 exhibited consistent training collapse across three independent configurations, with training loss ≥4.37 at step 50 (expected ≈1.099 for a random classifier on three classes) and evaluation Macro-F1 identical to 17 decimal places across all epochs in two configurations. The failure is reproducible on this hardware setup (Windows 11, NVIDIA RTX 4060 Ti, CUDA backend). The most plausible explanation, based on observed behaviour, is a combination of library version mismatches silently re-initialising backbone weights and LR overshoot during the warmup phase. The third configuration, incorporating corrected loading and reduced peak LR (5e-6), yielded Macro-F1 = 0.6223, consistent with training collapse having been mitigated. The specific root cause was not independently verified on alternative hardware.</w:t>
      </w:r>
    </w:p>
    <w:p w14:paraId="1A000011" w14:textId="77777777" w:rsidR="00091D70" w:rsidRDefault="00000000">
      <w:pPr>
        <w:spacing w:before="140" w:after="60"/>
      </w:pPr>
      <w:r>
        <w:rPr>
          <w:b/>
          <w:bCs/>
        </w:rPr>
        <w:t>G. Cross-Corpus Evaluation</w:t>
      </w:r>
    </w:p>
    <w:p w14:paraId="1A000012" w14:textId="77777777" w:rsidR="00091D70" w:rsidRDefault="00000000">
      <w:pPr>
        <w:spacing w:after="100"/>
        <w:jc w:val="both"/>
      </w:pPr>
      <w:r>
        <w:t xml:space="preserve">To assess generalisation across Malay–English corpora, all six baseline models (VADER, TextBlob, pysentimiento, SentiLexM, MELex, TF-IDF + SVM) were evaluated on the tweet_eval English test set (n = 12,284) and the dUCk code-switching subset (n = 444 test samples from 1,478 total ENG-BM tweets). English lexicon tools perform substantially better on English-only Twitter (tweet_eval) than on Malay–English code-switched content (MESocSentiment), suggesting that their poor primary-benchmark performance reflects a language coverage gap rather than a methodological limitation. SentiLexM, designed specifically for code-switched social media, generalises more consistently across both Malay–English corpora. The TF-IDF + SVM cross-corpus drop is consistent with a vocabulary-mismatch cost inherent to feature-based methods trained on a single domain, providing further motivation for multilingual contextualised representations. Per-corpus Macro-F1 is presented in Table II.</w:t>
      </w:r>
    </w:p>
    <w:p>
      <w:pPr>
        <w:jc w:val="center"/>
        <w:spacing w:before="120" w:after="40"/>
      </w:pPr>
      <w:r>
        <w:rPr>
          <w:b/>
          <w:bCs/>
          <w:sz w:val="18"/>
          <w:szCs w:val="18"/>
        </w:rPr>
        <w:t xml:space="preserve">TABLE II. </w:t>
      </w:r>
      <w:r>
        <w:rPr>
          <w:sz w:val="18"/>
          <w:szCs w:val="18"/>
        </w:rPr>
        <w:t>Cross-Corpus Macro-F1. Best per-row score underlined. English lexicons rise substantially on tweet_eval, consistent with code-switching as the primary performance barrier. SVM degrades cross-corpus due to vocabulary mismatch.</w:t>
      </w:r>
    </w:p>
    <w:tbl>
      <w:tblPr>
        <w:tblW w:w="0" w:type="auto"/>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800"/>
        <w:gridCol w:w="2000"/>
        <w:gridCol w:w="1800"/>
        <w:gridCol w:w="1700"/>
      </w:tblGrid>
      <w:tr>
        <w:trPr>
          <w:tblCellSpacing w:w="0" w:type="dxa"/>
        </w:trPr>
        <w:tc>
          <w:tcPr>
            <w:tcW w:w="0" w:type="auto"/>
            <w:shd w:val="clear" w:color="auto" w:fill="D9D9D9"/>
          </w:tcPr>
          <w:p>
            <w:pPr>
              <w:jc w:val="center"/>
            </w:pPr>
            <w:r>
              <w:rPr>
                <w:b/>
                <w:bCs/>
                <w:sz w:val="18"/>
                <w:szCs w:val="18"/>
              </w:rPr>
              <w:t xml:space="preserve">Model</w:t>
            </w:r>
          </w:p>
        </w:tc>
        <w:tc>
          <w:tcPr>
            <w:tcW w:w="0" w:type="auto"/>
            <w:shd w:val="clear" w:color="auto" w:fill="D9D9D9"/>
          </w:tcPr>
          <w:p>
            <w:pPr>
              <w:jc w:val="center"/>
            </w:pPr>
            <w:r>
              <w:rPr>
                <w:b/>
                <w:bCs/>
                <w:sz w:val="18"/>
                <w:szCs w:val="18"/>
              </w:rPr>
              <w:t xml:space="preserve">MESocSentiment (n=1,700)</w:t>
            </w:r>
          </w:p>
        </w:tc>
        <w:tc>
          <w:tcPr>
            <w:tcW w:w="0" w:type="auto"/>
            <w:shd w:val="clear" w:color="auto" w:fill="D9D9D9"/>
          </w:tcPr>
          <w:p>
            <w:pPr>
              <w:jc w:val="center"/>
            </w:pPr>
            <w:r>
              <w:rPr>
                <w:b/>
                <w:bCs/>
                <w:sz w:val="18"/>
                <w:szCs w:val="18"/>
              </w:rPr>
              <w:t xml:space="preserve">tweet_eval (n=12,284)</w:t>
            </w:r>
          </w:p>
        </w:tc>
        <w:tc>
          <w:tcPr>
            <w:tcW w:w="0" w:type="auto"/>
            <w:shd w:val="clear" w:color="auto" w:fill="D9D9D9"/>
          </w:tcPr>
          <w:p>
            <w:pPr>
              <w:jc w:val="center"/>
            </w:pPr>
            <w:r>
              <w:rPr>
                <w:b/>
                <w:bCs/>
                <w:sz w:val="18"/>
                <w:szCs w:val="18"/>
              </w:rPr>
              <w:t xml:space="preserve">dUCk CS (n=444)</w:t>
            </w:r>
          </w:p>
        </w:tc>
      </w:tr>
      <w:tr>
        <w:trPr>
          <w:tblCellSpacing w:w="0" w:type="dxa"/>
        </w:trPr>
        <w:tc>
          <w:tcPr>
            <w:tcW w:w="0" w:type="auto"/>
          </w:tcPr>
          <w:p>
            <w:pPr>
              <w:jc w:val="center"/>
            </w:pPr>
            <w:r>
              <w:rPr>
                <w:sz w:val="18"/>
                <w:szCs w:val="18"/>
              </w:rPr>
              <w:t xml:space="preserve">VADER</w:t>
            </w:r>
          </w:p>
        </w:tc>
        <w:tc>
          <w:tcPr>
            <w:tcW w:w="0" w:type="auto"/>
          </w:tcPr>
          <w:p>
            <w:pPr>
              <w:jc w:val="center"/>
            </w:pPr>
            <w:r>
              <w:rPr>
                <w:sz w:val="18"/>
                <w:szCs w:val="18"/>
              </w:rPr>
              <w:t xml:space="preserve">0.3827</w:t>
            </w:r>
          </w:p>
        </w:tc>
        <w:tc>
          <w:tcPr>
            <w:tcW w:w="0" w:type="auto"/>
          </w:tcPr>
          <w:p>
            <w:pPr>
              <w:jc w:val="center"/>
            </w:pPr>
            <w:r>
              <w:rPr>
                <w:sz w:val="18"/>
                <w:szCs w:val="18"/>
              </w:rPr>
              <w:t xml:space="preserve">0.5262</w:t>
            </w:r>
          </w:p>
        </w:tc>
        <w:tc>
          <w:tcPr>
            <w:tcW w:w="0" w:type="auto"/>
          </w:tcPr>
          <w:p>
            <w:pPr>
              <w:jc w:val="center"/>
            </w:pPr>
            <w:r>
              <w:rPr>
                <w:sz w:val="18"/>
                <w:szCs w:val="18"/>
              </w:rPr>
              <w:t xml:space="preserve">0.3511</w:t>
            </w:r>
          </w:p>
        </w:tc>
      </w:tr>
      <w:tr>
        <w:trPr>
          <w:tblCellSpacing w:w="0" w:type="dxa"/>
        </w:trPr>
        <w:tc>
          <w:tcPr>
            <w:tcW w:w="0" w:type="auto"/>
          </w:tcPr>
          <w:p>
            <w:pPr>
              <w:jc w:val="center"/>
            </w:pPr>
            <w:r>
              <w:rPr>
                <w:sz w:val="18"/>
                <w:szCs w:val="18"/>
              </w:rPr>
              <w:t xml:space="preserve">TextBlob</w:t>
            </w:r>
          </w:p>
        </w:tc>
        <w:tc>
          <w:tcPr>
            <w:tcW w:w="0" w:type="auto"/>
          </w:tcPr>
          <w:p>
            <w:pPr>
              <w:jc w:val="center"/>
            </w:pPr>
            <w:r>
              <w:rPr>
                <w:sz w:val="18"/>
                <w:szCs w:val="18"/>
              </w:rPr>
              <w:t xml:space="preserve">0.3747</w:t>
            </w:r>
          </w:p>
        </w:tc>
        <w:tc>
          <w:tcPr>
            <w:tcW w:w="0" w:type="auto"/>
          </w:tcPr>
          <w:p>
            <w:pPr>
              <w:jc w:val="center"/>
            </w:pPr>
            <w:r>
              <w:rPr>
                <w:sz w:val="18"/>
                <w:szCs w:val="18"/>
              </w:rPr>
              <w:t xml:space="preserve">0.4667</w:t>
            </w:r>
          </w:p>
        </w:tc>
        <w:tc>
          <w:tcPr>
            <w:tcW w:w="0" w:type="auto"/>
          </w:tcPr>
          <w:p>
            <w:pPr>
              <w:jc w:val="center"/>
            </w:pPr>
            <w:r>
              <w:rPr>
                <w:sz w:val="18"/>
                <w:szCs w:val="18"/>
              </w:rPr>
              <w:t xml:space="preserve">0.3373</w:t>
            </w:r>
          </w:p>
        </w:tc>
      </w:tr>
      <w:tr>
        <w:trPr>
          <w:tblCellSpacing w:w="0" w:type="dxa"/>
        </w:trPr>
        <w:tc>
          <w:tcPr>
            <w:tcW w:w="0" w:type="auto"/>
          </w:tcPr>
          <w:p>
            <w:pPr>
              <w:jc w:val="center"/>
            </w:pPr>
            <w:r>
              <w:rPr>
                <w:sz w:val="18"/>
                <w:szCs w:val="18"/>
              </w:rPr>
              <w:t xml:space="preserve">pysentimiento</w:t>
            </w:r>
          </w:p>
        </w:tc>
        <w:tc>
          <w:tcPr>
            <w:tcW w:w="0" w:type="auto"/>
          </w:tcPr>
          <w:p>
            <w:pPr>
              <w:jc w:val="center"/>
            </w:pPr>
            <w:r>
              <w:rPr>
                <w:sz w:val="18"/>
                <w:szCs w:val="18"/>
              </w:rPr>
              <w:t xml:space="preserve">0.4778</w:t>
            </w:r>
          </w:p>
        </w:tc>
        <w:tc>
          <w:tcPr>
            <w:tcW w:w="0" w:type="auto"/>
          </w:tcPr>
          <w:p>
            <w:pPr>
              <w:jc w:val="center"/>
            </w:pPr>
            <w:r>
              <w:rPr>
                <w:sz w:val="18"/>
                <w:szCs w:val="18"/>
              </w:rPr>
              <w:t xml:space="preserve">0.7188</w:t>
            </w:r>
          </w:p>
        </w:tc>
        <w:tc>
          <w:tcPr>
            <w:tcW w:w="0" w:type="auto"/>
          </w:tcPr>
          <w:p>
            <w:pPr>
              <w:jc w:val="center"/>
            </w:pPr>
            <w:r>
              <w:rPr>
                <w:sz w:val="18"/>
                <w:szCs w:val="18"/>
              </w:rPr>
              <w:t xml:space="preserve">0.3846</w:t>
            </w:r>
          </w:p>
        </w:tc>
      </w:tr>
      <w:tr>
        <w:trPr>
          <w:tblCellSpacing w:w="0" w:type="dxa"/>
        </w:trPr>
        <w:tc>
          <w:tcPr>
            <w:tcW w:w="0" w:type="auto"/>
          </w:tcPr>
          <w:p>
            <w:pPr>
              <w:jc w:val="center"/>
            </w:pPr>
            <w:r>
              <w:rPr>
                <w:sz w:val="18"/>
                <w:szCs w:val="18"/>
              </w:rPr>
              <w:t xml:space="preserve">SentiLexM</w:t>
            </w:r>
          </w:p>
        </w:tc>
        <w:tc>
          <w:tcPr>
            <w:tcW w:w="0" w:type="auto"/>
          </w:tcPr>
          <w:p>
            <w:pPr>
              <w:jc w:val="center"/>
            </w:pPr>
            <w:r>
              <w:rPr>
                <w:sz w:val="18"/>
                <w:szCs w:val="18"/>
              </w:rPr>
              <w:t xml:space="preserve">0.4053</w:t>
            </w:r>
          </w:p>
        </w:tc>
        <w:tc>
          <w:tcPr>
            <w:tcW w:w="0" w:type="auto"/>
          </w:tcPr>
          <w:p>
            <w:pPr>
              <w:jc w:val="center"/>
            </w:pPr>
            <w:r>
              <w:rPr>
                <w:sz w:val="18"/>
                <w:szCs w:val="18"/>
              </w:rPr>
              <w:t xml:space="preserve">0.5222</w:t>
            </w:r>
          </w:p>
        </w:tc>
        <w:tc>
          <w:tcPr>
            <w:tcW w:w="0" w:type="auto"/>
          </w:tcPr>
          <w:p>
            <w:pPr>
              <w:jc w:val="center"/>
            </w:pPr>
            <w:r>
              <w:rPr>
                <w:sz w:val="18"/>
                <w:szCs w:val="18"/>
              </w:rPr>
              <w:t xml:space="preserve">0.3952</w:t>
            </w:r>
          </w:p>
        </w:tc>
      </w:tr>
      <w:tr>
        <w:trPr>
          <w:tblCellSpacing w:w="0" w:type="dxa"/>
        </w:trPr>
        <w:tc>
          <w:tcPr>
            <w:tcW w:w="0" w:type="auto"/>
          </w:tcPr>
          <w:p>
            <w:pPr>
              <w:jc w:val="center"/>
            </w:pPr>
            <w:r>
              <w:rPr>
                <w:sz w:val="18"/>
                <w:szCs w:val="18"/>
              </w:rPr>
              <w:t xml:space="preserve">MELex</w:t>
            </w:r>
          </w:p>
        </w:tc>
        <w:tc>
          <w:tcPr>
            <w:tcW w:w="0" w:type="auto"/>
          </w:tcPr>
          <w:p>
            <w:pPr>
              <w:jc w:val="center"/>
            </w:pPr>
            <w:r>
              <w:rPr>
                <w:sz w:val="18"/>
                <w:szCs w:val="18"/>
              </w:rPr>
              <w:t xml:space="preserve">0.2811</w:t>
            </w:r>
          </w:p>
        </w:tc>
        <w:tc>
          <w:tcPr>
            <w:tcW w:w="0" w:type="auto"/>
          </w:tcPr>
          <w:p>
            <w:pPr>
              <w:jc w:val="center"/>
            </w:pPr>
            <w:r>
              <w:rPr>
                <w:sz w:val="18"/>
                <w:szCs w:val="18"/>
              </w:rPr>
              <w:t xml:space="preserve">0.3623</w:t>
            </w:r>
          </w:p>
        </w:tc>
        <w:tc>
          <w:tcPr>
            <w:tcW w:w="0" w:type="auto"/>
          </w:tcPr>
          <w:p>
            <w:pPr>
              <w:jc w:val="center"/>
            </w:pPr>
            <w:r>
              <w:rPr>
                <w:sz w:val="18"/>
                <w:szCs w:val="18"/>
              </w:rPr>
              <w:t xml:space="preserve">0.3180</w:t>
            </w:r>
          </w:p>
        </w:tc>
      </w:tr>
      <w:tr>
        <w:trPr>
          <w:tblCellSpacing w:w="0" w:type="dxa"/>
        </w:trPr>
        <w:tc>
          <w:tcPr>
            <w:tcW w:w="0" w:type="auto"/>
          </w:tcPr>
          <w:p>
            <w:pPr>
              <w:jc w:val="center"/>
            </w:pPr>
            <w:r>
              <w:rPr>
                <w:sz w:val="18"/>
                <w:szCs w:val="18"/>
              </w:rPr>
              <w:t xml:space="preserve">TF-IDF + SVM</w:t>
            </w:r>
          </w:p>
        </w:tc>
        <w:tc>
          <w:tcPr>
            <w:tcW w:w="0" w:type="auto"/>
          </w:tcPr>
          <w:p>
            <w:pPr>
              <w:jc w:val="center"/>
            </w:pPr>
            <w:r>
              <w:rPr>
                <w:sz w:val="18"/>
                <w:szCs w:val="18"/>
              </w:rPr>
              <w:t xml:space="preserve">0.6407</w:t>
            </w:r>
          </w:p>
        </w:tc>
        <w:tc>
          <w:tcPr>
            <w:tcW w:w="0" w:type="auto"/>
          </w:tcPr>
          <w:p>
            <w:pPr>
              <w:jc w:val="center"/>
            </w:pPr>
            <w:r>
              <w:rPr>
                <w:sz w:val="18"/>
                <w:szCs w:val="18"/>
              </w:rPr>
              <w:t xml:space="preserve">0.4592</w:t>
            </w:r>
          </w:p>
        </w:tc>
        <w:tc>
          <w:tcPr>
            <w:tcW w:w="0" w:type="auto"/>
          </w:tcPr>
          <w:p>
            <w:pPr>
              <w:jc w:val="center"/>
            </w:pPr>
            <w:r>
              <w:rPr>
                <w:sz w:val="18"/>
                <w:szCs w:val="18"/>
              </w:rPr>
              <w:t xml:space="preserve">0.3971</w:t>
            </w:r>
          </w:p>
        </w:tc>
      </w:tr>
    </w:tbl>
    <w:p>
      <w:pPr>
        <w:spacing w:after="80"/>
      </w:pPr>
    </w:p>
    <w:p w14:paraId="286008CD" w14:textId="77777777" w:rsidR="00091D70" w:rsidRDefault="00000000">
      <w:pPr>
        <w:spacing w:before="200" w:after="100"/>
        <w:jc w:val="center"/>
      </w:pPr>
      <w:r>
        <w:rPr>
          <w:b/>
          <w:bCs/>
        </w:rPr>
        <w:t>V. METHODOLOGICAL PITFALLS IN CODE-SWITCHED NLP BENCHMARKING</w:t>
      </w:r>
    </w:p>
    <w:p w14:paraId="073E7931" w14:textId="77777777" w:rsidR="00091D70" w:rsidRDefault="00000000">
      <w:pPr>
        <w:spacing w:after="100"/>
        <w:jc w:val="both"/>
      </w:pPr>
      <w:r>
        <w:t>The v1 experimental design—evaluation against the original 2,000-sample test set with checkpoint selection on a noise-contaminated development set—produced inflated transformer scores (XLM-T 0.6828) that were subsequently revised downward on the clean test set (0.6782). Four systematic pitfalls were identified and corrected:</w:t>
      </w:r>
    </w:p>
    <w:p w14:paraId="02BC02AE" w14:textId="77777777" w:rsidR="00091D70" w:rsidRDefault="00000000">
      <w:pPr>
        <w:spacing w:before="60" w:after="40"/>
        <w:ind w:left="360"/>
        <w:jc w:val="both"/>
      </w:pPr>
      <w:r>
        <w:t>(1) Noise-contaminated development split: A development set drawn from the same noisy pool as training data optimises checkpoints for label-error memorisation. Correction: a 300-sample clean development set derived from the manually annotated portion.</w:t>
      </w:r>
    </w:p>
    <w:p w14:paraId="01BF7155" w14:textId="77777777" w:rsidR="00091D70" w:rsidRDefault="00000000">
      <w:pPr>
        <w:spacing w:after="40"/>
        <w:ind w:left="360"/>
        <w:jc w:val="both"/>
      </w:pPr>
      <w:r>
        <w:t>(2) Insufficient training epochs: Three epochs produced underfit models on this corpus. Correction: seven epochs with early stopping on clean development Macro-F1.</w:t>
      </w:r>
    </w:p>
    <w:p w14:paraId="286B6C20" w14:textId="77777777" w:rsidR="00091D70" w:rsidRDefault="00000000">
      <w:pPr>
        <w:spacing w:after="40"/>
        <w:ind w:left="360"/>
        <w:jc w:val="both"/>
      </w:pPr>
      <w:r>
        <w:t>(3) Misidentified training failure: The initial mDeBERTa-v3 failure was attributed to AMP GradScaler underflow and described as corrected. Subsequent analysis identified the more likely cause as a combination of ignore_mismatched_sizes silently re-initialising the backbone and LR overshoot during warmup, though neither explanation is fully verified.</w:t>
      </w:r>
    </w:p>
    <w:p w14:paraId="3C1FD279" w14:textId="77777777" w:rsidR="00091D70" w:rsidRDefault="00000000">
      <w:pPr>
        <w:spacing w:after="80"/>
        <w:ind w:left="360"/>
        <w:jc w:val="both"/>
      </w:pPr>
      <w:r>
        <w:t>(4) Impotent class-imbalance treatment: Inverse-frequency class weights (Δ = −0.0009 in v1, both on n=2,000) were ineffective because the training set was oversampled to near-balance (30.5% Positive / 32.9% Negative / 36.6% Neutral), resulting in maximum weight scaling of only 1.09 — negligible in deep networks. Focal Loss provides dynamically scaled gradients that concentrate learning capacity on hard examples.</w:t>
      </w:r>
    </w:p>
    <w:p w14:paraId="2BDA4FC3" w14:textId="77777777" w:rsidR="00091D70" w:rsidRDefault="00000000">
      <w:pPr>
        <w:spacing w:after="100"/>
        <w:jc w:val="both"/>
      </w:pPr>
      <w:r>
        <w:t>These corrections shifted the benchmark conclusions meaningfully: the v1 report overstated the SVM-to-transformer gap and understated the importance of clean checkpoint selection. The corrected v2 gap (SVM 0.6407 vs. XLM-R 0.6587, Δ = +0.018) is more conservative and more defensible.</w:t>
      </w:r>
    </w:p>
    <w:p w14:paraId="7132C394" w14:textId="77777777" w:rsidR="00091D70" w:rsidRDefault="00000000">
      <w:pPr>
        <w:spacing w:before="200" w:after="100"/>
        <w:jc w:val="center"/>
      </w:pPr>
      <w:r>
        <w:rPr>
          <w:b/>
          <w:bCs/>
        </w:rPr>
        <w:t>VI. CONCLUSIONS AND FUTURE WORK</w:t>
      </w:r>
    </w:p>
    <w:p w14:paraId="4385F981" w14:textId="77777777" w:rsidR="00091D70" w:rsidRDefault="00000000">
      <w:pPr>
        <w:spacing w:after="100"/>
        <w:jc w:val="both"/>
      </w:pPr>
      <w:r>
        <w:t>This paper demonstrates that the dominant performance gap in Malay–English code-switched sentiment analysis lies between zero-shot and supervised methodologies, not between classical and transformer architectures. The +0.1629 Macro-F1 advantage of a simple TF-IDF + SVM over the best zero-shot baseline dwarfs the +0.018 transformer advantage—a finding that has direct implications for resource-constrained deployment decisions. The best configuration overall, XLM-R with Focal Loss (γ=1.0), achieves Macro-F1 = 0.6841 (single run) and 0.6748 (multi-seed mean), representing a clear but modest improvement over the classical baseline.</w:t>
      </w:r>
    </w:p>
    <w:p w14:paraId="05C1A3B5" w14:textId="77777777" w:rsidR="00091D70" w:rsidRDefault="00000000">
      <w:pPr>
        <w:spacing w:before="80" w:after="100"/>
        <w:jc w:val="both"/>
      </w:pPr>
      <w:r>
        <w:t>Four benchmarking pitfalls identified in this work—noisy development splits, insufficient training epochs, misidentified failures, and impotent class-imbalance treatment—are not unique to this corpus. Each pitfall is likely to recur in similar low-resource code-switching settings, and the corrected methodology provides a reference design for future code-switching benchmarks.</w:t>
      </w:r>
    </w:p>
    <w:p w14:paraId="70B2020F" w14:textId="77777777" w:rsidR="00091D70" w:rsidRDefault="00000000">
      <w:pPr>
        <w:spacing w:before="80" w:after="100"/>
        <w:jc w:val="both"/>
      </w:pPr>
      <w:r>
        <w:t>Future work should prioritise: full corpus re-annotation to reduce the 33.8% training label noise that constitutes the primary performance ceiling; systematic multi-seed evaluation with n ≥ 5 seeds to strengthen confidence interval estimates; and evaluation of Malay-domain-adapted models that do not rely on English-centric pre-training.</w:t>
      </w:r>
    </w:p>
    <w:p w14:paraId="61194A3F" w14:textId="77777777" w:rsidR="006103BA" w:rsidRPr="006103BA" w:rsidRDefault="006103BA" w:rsidP="006103BA">
      <w:pPr>
        <w:spacing w:before="200" w:after="100"/>
        <w:jc w:val="center"/>
        <w:rPr>
          <w:i/>
          <w:iCs/>
        </w:rPr>
      </w:pPr>
      <w:r>
        <w:rPr>
          <w:i/>
          <w:iCs/>
        </w:rPr>
        <w:t>ACKNOWLEDGMENT</w:t>
      </w:r>
    </w:p>
    <w:p w14:paraId="25D679A3" w14:textId="22424168" w:rsidR="006103BA" w:rsidRPr="006103BA" w:rsidRDefault="006103BA" w:rsidP="006103BA">
      <w:pPr>
        <w:spacing w:before="200" w:after="100"/>
        <w:jc w:val="both"/>
        <w:rPr>
          <w:b/>
          <w:bCs/>
        </w:rPr>
      </w:pPr>
      <w:r>
        <w:t xml:space="preserve">The authors disclose the use of Anthropic's Claude Sonnet 4.6 Large Language Model exclusively for the targeted </w:t>
        <w:lastRenderedPageBreak/>
        <w:t>dataset relabeling experiments detailed in Phase 3 of the methodology.</w:t>
      </w:r>
    </w:p>
    <w:p w14:paraId="7805F933" w14:textId="3ECEFD41" w:rsidR="00091D70" w:rsidRDefault="00000000">
      <w:pPr>
        <w:spacing w:before="200" w:after="100"/>
        <w:jc w:val="center"/>
      </w:pPr>
      <w:r>
        <w:rPr>
          <w:b/>
          <w:bCs/>
        </w:rPr>
        <w:t>REFERENCES</w:t>
      </w:r>
    </w:p>
    <w:p w14:paraId="18360E32" w14:textId="77777777" w:rsidR="00091D70" w:rsidRDefault="00000000">
      <w:pPr>
        <w:spacing w:after="60"/>
        <w:ind w:left="360" w:hanging="360"/>
      </w:pPr>
      <w:r>
        <w:rPr>
          <w:sz w:val="18"/>
          <w:szCs w:val="18"/>
        </w:rPr>
        <w:t>[1]</w:t>
        <w:tab/>
        <w:t>M. N. H. Mohd Shamsuddin et al., “Semi-Automatic Sentiment Identification for Malay-English Code-Switched Data,” J. Adv. Res. Design, vol. 123, no. 1, pp. 198–212, 2024.</w:t>
      </w:r>
    </w:p>
    <w:p w14:paraId="6CCB4098" w14:textId="77777777" w:rsidR="00091D70" w:rsidRDefault="00000000">
      <w:pPr>
        <w:spacing w:after="60"/>
        <w:ind w:left="360" w:hanging="360"/>
      </w:pPr>
      <w:r>
        <w:rPr>
          <w:sz w:val="18"/>
          <w:szCs w:val="18"/>
        </w:rPr>
        <w:t>[2]</w:t>
        <w:tab/>
        <w:t>P. Patwa et al., “SemEval-2020 Task 9: Overview of Sentiment Analysis of Code-Mixed Tweets,” in Proc. SemEval-2020, ACL, 2020, pp. 624–634.</w:t>
      </w:r>
    </w:p>
    <w:p w14:paraId="4C79FC68" w14:textId="77777777" w:rsidR="00091D70" w:rsidRDefault="00000000">
      <w:pPr>
        <w:spacing w:after="60"/>
        <w:ind w:left="360" w:hanging="360"/>
      </w:pPr>
      <w:r>
        <w:rPr>
          <w:sz w:val="18"/>
          <w:szCs w:val="18"/>
        </w:rPr>
        <w:t>[3]</w:t>
        <w:tab/>
        <w:t>S. Khanuja et al., “GLUECoS: An Evaluation Benchmark for Code-Switched NLP,” in Proc. ACL 2020, pp. 3575–3585.</w:t>
      </w:r>
    </w:p>
    <w:p w14:paraId="7ED4FEEA" w14:textId="77777777" w:rsidR="00091D70" w:rsidRDefault="00000000">
      <w:pPr>
        <w:spacing w:after="60"/>
        <w:ind w:left="360" w:hanging="360"/>
      </w:pPr>
      <w:r>
        <w:rPr>
          <w:sz w:val="18"/>
          <w:szCs w:val="18"/>
        </w:rPr>
        <w:t>[4]</w:t>
        <w:tab/>
        <w:t>G. Aguilar, S. Kar, and T. Solorio, “LinCE: A Centralized Benchmark for Linguistic Code-switching Evaluation,” in Proc. LREC 2020, pp. 1803–1813.</w:t>
      </w:r>
    </w:p>
    <w:p w14:paraId="4C444EBE" w14:textId="77777777" w:rsidR="00091D70" w:rsidRDefault="00000000">
      <w:pPr>
        <w:spacing w:after="60"/>
        <w:ind w:left="360" w:hanging="360"/>
      </w:pPr>
      <w:r>
        <w:rPr>
          <w:sz w:val="18"/>
          <w:szCs w:val="18"/>
        </w:rPr>
        <w:t>[5]</w:t>
        <w:tab/>
        <w:t>G. I. Winata et al., “The Decades Progress on Code-Switching Research in NLP: A Systematic Survey,” in Findings of ACL, 2023, pp. 2992–3007.</w:t>
      </w:r>
    </w:p>
    <w:p w14:paraId="738DB30D" w14:textId="77777777" w:rsidR="00091D70" w:rsidRDefault="00000000">
      <w:pPr>
        <w:spacing w:after="60"/>
        <w:ind w:left="360" w:hanging="360"/>
      </w:pPr>
      <w:r>
        <w:rPr>
          <w:sz w:val="18"/>
          <w:szCs w:val="18"/>
        </w:rPr>
        <w:t>[6]</w:t>
        <w:tab/>
        <w:t>W. K. Kong et al., “A Mixed Malay–English Language COVID-19 Twitter Dataset: A Sentiment Analysis,” Big Data Cogn. Comput., vol. 7, no. 2, 2023.</w:t>
      </w:r>
    </w:p>
    <w:p w14:paraId="1E1AE65F" w14:textId="77777777" w:rsidR="00091D70" w:rsidRDefault="00000000">
      <w:pPr>
        <w:spacing w:after="60"/>
        <w:ind w:left="360" w:hanging="360"/>
      </w:pPr>
      <w:r>
        <w:rPr>
          <w:sz w:val="18"/>
          <w:szCs w:val="18"/>
        </w:rPr>
        <w:t>[7]</w:t>
        <w:tab/>
        <w:t>K. S. Cheng et al., “Slangs and Short Forms of Malay Twitter Sentiment Analysis Using Supervised Machine Learning,” IJCSNS, vol. 21, no. 11, pp. 144–150, 2021.</w:t>
      </w:r>
    </w:p>
    <w:p w14:paraId="09048CAD" w14:textId="77777777" w:rsidR="00091D70" w:rsidRDefault="00000000">
      <w:pPr>
        <w:spacing w:after="60"/>
        <w:ind w:left="360" w:hanging="360"/>
      </w:pPr>
      <w:r>
        <w:rPr>
          <w:sz w:val="18"/>
          <w:szCs w:val="18"/>
        </w:rPr>
        <w:t>[8]</w:t>
        <w:tab/>
        <w:t>A. Al-Saffar et al., “Malay Sentiment Analysis Based on Combined Classification Approaches and Senti-lexicon Algorithm,” PLOS ONE, vol. 13, no. 4, 2018.</w:t>
      </w:r>
    </w:p>
    <w:p w14:paraId="0E958B3D" w14:textId="77777777" w:rsidR="00091D70" w:rsidRDefault="00000000">
      <w:pPr>
        <w:spacing w:after="60"/>
        <w:ind w:left="360" w:hanging="360"/>
      </w:pPr>
      <w:r>
        <w:rPr>
          <w:sz w:val="18"/>
          <w:szCs w:val="18"/>
        </w:rPr>
        <w:t>[9]</w:t>
        <w:tab/>
        <w:t>A. Conneau et al., “Unsupervised Cross-lingual Representation Learning at Scale,” in Proc. ACL, 2020, pp. 8440–8451.</w:t>
      </w:r>
    </w:p>
    <w:p w14:paraId="1A0B5417" w14:textId="77777777" w:rsidR="00091D70" w:rsidRDefault="00000000">
      <w:pPr>
        <w:spacing w:after="60"/>
        <w:ind w:left="360" w:hanging="360"/>
      </w:pPr>
      <w:r>
        <w:rPr>
          <w:sz w:val="18"/>
          <w:szCs w:val="18"/>
        </w:rPr>
        <w:t>[10]</w:t>
        <w:tab/>
        <w:t>F. Barbieri et al., “TweetEval: Unified Benchmark and Comparative Evaluation for Tweet Classification,” in Findings of EMNLP, 2020, pp. 1644–1650.</w:t>
      </w:r>
    </w:p>
    <w:p w14:paraId="AABA23AB" w14:textId="77777777" w:rsidR="00000000" w:rsidRDefault="00000000">
      <w:pPr>
        <w:spacing w:after="40"/>
      </w:pPr>
      <w:r>
        <w:rPr>
          <w:sz w:val="18"/>
          <w:szCs w:val="18"/>
        </w:rPr>
        <w:t xml:space="preserve">[15]A. Asyraffazlan et al., “SentiLexM: A Bilingual Malay–English Sentiment Lexicon,” GitHub, 2023. [Online]. Available: https://github.com/AsyrafAzlan/SentiLexM</w:t>
      </w:r>
    </w:p>
    <w:p w14:paraId="AA06F017" w14:textId="77777777" w:rsidR="00000000" w:rsidRDefault="00000000">
      <w:pPr>
        <w:spacing w:after="40"/>
      </w:pPr>
      <w:r>
        <w:rPr>
          <w:sz w:val="18"/>
          <w:szCs w:val="18"/>
        </w:rPr>
        <w:t xml:space="preserve">[16]N. Husna et al., “MELex: A Malay–English Sentiment Lexicon,” GitHub, 2022. [Online]. Available: https://github.com/nhusna84/MELex</w:t>
      </w:r>
    </w:p>
    <w:p w14:paraId="AAC8FAFF" w14:textId="77777777" w:rsidR="00000000" w:rsidRDefault="00000000">
      <w:pPr>
        <w:spacing w:after="40"/>
      </w:pPr>
      <w:r>
        <w:rPr>
          <w:sz w:val="18"/>
          <w:szCs w:val="18"/>
        </w:rPr>
        <w:t xml:space="preserve">[17]T. Joachims, “Text Categorization with Support Vector Machines: Learning with Many Relevant Features,” in  Proc. ECML, 1998, pp. 137–142.</w:t>
      </w:r>
    </w:p>
    <w:p w14:paraId="AA20294C" w14:textId="77777777" w:rsidR="00000000" w:rsidRDefault="00000000">
      <w:pPr>
        <w:spacing w:after="40"/>
      </w:pPr>
      <w:r>
        <w:rPr>
          <w:sz w:val="18"/>
          <w:szCs w:val="18"/>
        </w:rPr>
        <w:t xml:space="preserve">[18]C. J. Hutto and E. Gilbert, “VADER: A Parsimonious Rule-Based Model for Sentiment Analysis of Social Media Text,” in Proc. ICWSM, 2014.</w:t>
      </w:r>
    </w:p>
    <w:p w14:paraId="AA9E2849" w14:textId="77777777" w:rsidR="00000000" w:rsidRDefault="00000000">
      <w:pPr>
        <w:spacing w:after="40"/>
      </w:pPr>
      <w:r>
        <w:rPr>
          <w:sz w:val="18"/>
          <w:szCs w:val="18"/>
        </w:rPr>
        <w:t xml:space="preserve">[19]F. Barbieri et al., “XLM-T: Multilingual Language Models in Twitter for Sentiment Analysis and Beyond,” in  Proc. EMNLP, 2022, pp. 11–627.</w:t>
      </w:r>
    </w:p>
    <w:p w14:paraId="3FA5C149" w14:textId="77777777" w:rsidR="00091D70" w:rsidRDefault="00000000">
      <w:pPr>
        <w:spacing w:after="60"/>
        <w:ind w:left="360" w:hanging="360"/>
      </w:pPr>
      <w:r>
        <w:rPr>
          <w:sz w:val="18"/>
          <w:szCs w:val="18"/>
        </w:rPr>
        <w:t>[11]</w:t>
        <w:tab/>
        <w:t>P. He, J. Gao, and W. Chen, “DeBERTaV3: Improving DeBERTa using ELECTRA-Style Pre-Training with Gradient-Disentangled Embedding Sharing,” in Proc. ICLR, 2023.</w:t>
      </w:r>
    </w:p>
    <w:p w14:paraId="54F4D992" w14:textId="77777777" w:rsidR="00091D70" w:rsidRDefault="00000000">
      <w:pPr>
        <w:spacing w:after="60"/>
        <w:ind w:left="360" w:hanging="360"/>
      </w:pPr>
      <w:r>
        <w:rPr>
          <w:sz w:val="18"/>
          <w:szCs w:val="18"/>
        </w:rPr>
        <w:t>[12]</w:t>
        <w:tab/>
        <w:t>K. Shanmugavadivel et al., “Deep Learning Based Sentiment Analysis on Multilingual Code-Mixed Data,” Sci. Rep., vol. 12, 2022.</w:t>
      </w:r>
    </w:p>
    <w:p w14:paraId="504B9DE4" w14:textId="77777777" w:rsidR="00091D70" w:rsidRDefault="00000000">
      <w:pPr>
        <w:spacing w:after="60"/>
        <w:ind w:left="360" w:hanging="360"/>
      </w:pPr>
      <w:r>
        <w:rPr>
          <w:sz w:val="18"/>
          <w:szCs w:val="18"/>
        </w:rPr>
        <w:t>[13]</w:t>
        <w:tab/>
        <w:t>T. Lin et al., “Focal Loss for Dense Object Detection,” in Proc. ICCV, 2017, pp. 2980–2988.</w:t>
      </w:r>
    </w:p>
    <w:p w14:paraId="1A000013" w14:textId="77777777" w:rsidR="00091D70" w:rsidRDefault="00000000">
      <w:pPr>
        <w:spacing w:after="60"/>
        <w:ind w:left="360" w:hanging="360"/>
      </w:pPr>
      <w:r>
        <w:rPr>
          <w:sz w:val="18"/>
          <w:szCs w:val="18"/>
        </w:rPr>
        <w:t>[14]</w:t>
        <w:tab/>
        <w:t xml:space="preserve">H. M. Tham and K. H. Gan, “Annotated The dUCk Tweets Dataset,” Mendeley Data, V2, 2021. [Online]. Available: https://doi.org/10.17632/876tc4dkts.2</w:t>
      </w:r>
    </w:p>
    <w:sectPr w:rsidR="00091D70">
      <w:type w:val="continuous"/>
      <w:pgSz w:w="11906" w:h="16838"/>
      <w:pgMar w:top="1080" w:right="1080" w:bottom="1080" w:left="1080" w:header="708" w:footer="708" w:gutter="0"/>
      <w:cols w:num="2" w:space="56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04D1"/>
    <w:multiLevelType w:val="hybridMultilevel"/>
    <w:tmpl w:val="6A2A3A9A"/>
    <w:lvl w:ilvl="0" w:tplc="A5E4A388">
      <w:start w:val="1"/>
      <w:numFmt w:val="bullet"/>
      <w:lvlText w:val="●"/>
      <w:lvlJc w:val="left"/>
      <w:pPr>
        <w:ind w:left="720" w:hanging="360"/>
      </w:pPr>
    </w:lvl>
    <w:lvl w:ilvl="1" w:tplc="3B6615D6">
      <w:start w:val="1"/>
      <w:numFmt w:val="bullet"/>
      <w:lvlText w:val="○"/>
      <w:lvlJc w:val="left"/>
      <w:pPr>
        <w:ind w:left="1440" w:hanging="360"/>
      </w:pPr>
    </w:lvl>
    <w:lvl w:ilvl="2" w:tplc="FFA89776">
      <w:start w:val="1"/>
      <w:numFmt w:val="bullet"/>
      <w:lvlText w:val="■"/>
      <w:lvlJc w:val="left"/>
      <w:pPr>
        <w:ind w:left="2160" w:hanging="360"/>
      </w:pPr>
    </w:lvl>
    <w:lvl w:ilvl="3" w:tplc="F4B0A09A">
      <w:start w:val="1"/>
      <w:numFmt w:val="bullet"/>
      <w:lvlText w:val="●"/>
      <w:lvlJc w:val="left"/>
      <w:pPr>
        <w:ind w:left="2880" w:hanging="360"/>
      </w:pPr>
    </w:lvl>
    <w:lvl w:ilvl="4" w:tplc="CCF2EE02">
      <w:start w:val="1"/>
      <w:numFmt w:val="bullet"/>
      <w:lvlText w:val="○"/>
      <w:lvlJc w:val="left"/>
      <w:pPr>
        <w:ind w:left="3600" w:hanging="360"/>
      </w:pPr>
    </w:lvl>
    <w:lvl w:ilvl="5" w:tplc="7FBE10DA">
      <w:start w:val="1"/>
      <w:numFmt w:val="bullet"/>
      <w:lvlText w:val="■"/>
      <w:lvlJc w:val="left"/>
      <w:pPr>
        <w:ind w:left="4320" w:hanging="360"/>
      </w:pPr>
    </w:lvl>
    <w:lvl w:ilvl="6" w:tplc="C3A04EE2">
      <w:start w:val="1"/>
      <w:numFmt w:val="bullet"/>
      <w:lvlText w:val="●"/>
      <w:lvlJc w:val="left"/>
      <w:pPr>
        <w:ind w:left="5040" w:hanging="360"/>
      </w:pPr>
    </w:lvl>
    <w:lvl w:ilvl="7" w:tplc="C58E6CF4">
      <w:start w:val="1"/>
      <w:numFmt w:val="bullet"/>
      <w:lvlText w:val="●"/>
      <w:lvlJc w:val="left"/>
      <w:pPr>
        <w:ind w:left="5760" w:hanging="360"/>
      </w:pPr>
    </w:lvl>
    <w:lvl w:ilvl="8" w:tplc="2D3E29F8">
      <w:start w:val="1"/>
      <w:numFmt w:val="bullet"/>
      <w:lvlText w:val="●"/>
      <w:lvlJc w:val="left"/>
      <w:pPr>
        <w:ind w:left="6480" w:hanging="360"/>
      </w:pPr>
    </w:lvl>
  </w:abstractNum>
  <w:num w:numId="1" w16cid:durableId="1702240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D70"/>
    <w:rsid w:val="00080266"/>
    <w:rsid w:val="00091D70"/>
    <w:rsid w:val="006103BA"/>
    <w:rsid w:val="00BB0609"/>
    <w:rsid w:val="00BB7B23"/>
    <w:rsid w:val="00D22EEE"/>
    <w:rsid w:val="00E83F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9E77"/>
  <w15:docId w15:val="{CF933E5A-3A12-4C62-8B51-F83A51AF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2700</Words>
  <Characters>15396</Characters>
  <Application>Microsoft Office Word</Application>
  <DocSecurity>0</DocSecurity>
  <Lines>128</Lines>
  <Paragraphs>36</Paragraphs>
  <ScaleCrop>false</ScaleCrop>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Joenathan Thomas</cp:lastModifiedBy>
  <cp:revision>4</cp:revision>
  <dcterms:created xsi:type="dcterms:W3CDTF">2026-04-08T15:15:00Z</dcterms:created>
  <dcterms:modified xsi:type="dcterms:W3CDTF">2026-04-08T16:20:00Z</dcterms:modified>
</cp:coreProperties>
</file>