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Cascadia United: Feasibility, Resources, and Strategic Pathways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Cascadia United is a provocative proposal: the union of California, Oregon, and Washington into a single sovereign or semi-sovereign regional entity. Advocates frame it as a bioregionally coherent, culturally aligned, and economically powerful polity. Yet this analysis demonstrates that while the region possesses undeniable wealth and influence, its internal divisions, strategic dependencies, and demographic diversity pose substantial challenges to sovereignty and cohesion.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The Economic Foundation - A Sober Look at Feasibility and Interdependence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economic power of the proposed region is indisputable. In 2024, the combined population of California, Oregon, and Washington was approximately 51.4 million, with a nominal GDP of $5.29 trillion. By this measure, Cascadia United would rank as the fourth-largest economy in the world, surpassing Japan and trailing only the remaining U.S., China, and Germany.</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Population (2024)</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Total</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Nominal GDP (2024, $B)</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Total</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GDP per Capita</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Economic Drivers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39,128,186</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76.1%</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4,103.1</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77.6%</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104,916</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Professional/Business Services, Information, Real Estate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Washington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8,035,700</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15.6%</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854.7</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108,468</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Professional/Business Services, Real Estate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Oregon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4,267,621</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331.0</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77,916</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Professional/Business Services, Manufacturing, Healthcare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51,431,507</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5,288.8</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102,832</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this scale, the union is internally lopsided. California alone accounts for over three-quarters of population and GDP, which risks marginalizing smaller members. Additionally, divergent economic structures—coastal tech-heavy economies versus Oregon’s manufacturing and healthcare—create potential policy friction.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Trade interdependence underscores another reality: the region is deeply integrated into national and global supply chains. Ports in Los Angeles, Oregon, and Washington are critical for both imports and exports, meaning sovereignty is less about isolation and more about managed interdependence.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Section 3: The Abundance Audit - A Resource-Based Assessment of Self-Reliance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Food Security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Cascadia United is a food powerhouse, exporting fruits, nuts, dairy, apples, and specialty crops. California alone hosts 15% of U.S. food and beverage manufacturing establishments. Yet critical dependencies exist: staples like corn and soy are largely grown outside the region, creating vulnerabilities in livestock feed and processed foods. True food sovereignty demands securing these foundational supply chains.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Energy Independence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Electricity production is largely self-sufficient in Washington and Oregon, with hydroelectric generation offsetting some of California’s demand. Yet California’s massive consumption makes the region a net electricity importer overall. Petroleum dependence is more acute: Cascadia imports nearly all crude oil and refined fuels, exposing its transportation networks to global market volatility.</w:t>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Electricity Production (TWh)</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Electricity Consumption (TWh)</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 Electricity (TWh)</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Crude Oil Production (Mbarrels)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Petroleum Consumption (Mbarrels)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 Petroleum (Mbarrels)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199.5</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259.5</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197.2</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424.6</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-227.4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Washington</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116.8</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92.3</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+24.5</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87.2</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Oregon</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60.9</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46.7</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+14.2</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52.6</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377.2</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398.5</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-21.3</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197.2</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564.4</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-367.2</w:t>
            </w:r>
          </w:p>
        </w:tc>
      </w:tr>
    </w:tbl>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 Resources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Water governance is constrained by external treaties and compacts: the Colorado River Compact, Columbia River Treaty, and Klamath River Basin agreements. A new regional government could not unilaterally control these resources, demonstrating that legal sovereignty over water is largely illusory.</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The Human Landscape - Navigating Political and Demographic Realities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Political realities reveal sharp urban-rural divides. Coastal metropolitan areas are liberal and progressive, while interior and rural areas are conservative. Movements like "Greater Idaho" in eastern Oregon and the State of Jefferson in Northern California and Southern Oregon reflect widespread dissatisfaction with state capitals perceived as dominated by urban interests.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Demographic diversity complicates identity formation. California is majority-minority, and the broader West Coast includes substantial Hispanic and Asian American populations. Reconciling these differences into a single "Cascadian" identity is nontrivial; any unifying narrative must appeal to shared futures rather than assumed shared histories.</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Strategic Pathways and Unseen Risks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Cascadia United has undeniable economic and resource strength but faces internal imbalances, strategic dependencies, and complex political divides. Key vulnerabilities include over-reliance on imported fossil fuels, legal constraints on water sovereignty, and urban-rural polarization.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recommendations include reframing the movement from political secession to economic integration, leveraging the region’s renewable energy and technological leadership as a “Green Superpower,” and creating concrete policies to bridge urban-rural divides. Building an alliance across tech, agriculture, labor, environmental, and tribal stakeholders is essential to cultivating a shared, pragmatic vision for the region.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 [All 134 sources listed in your bibliography, formatted consistently depending on style choice.]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