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Codename: T.B.C.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Deployment Brief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Baltic Corridor - XRP Liquidity Spine for Post-Strike Stabilization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| Ripple Strategic Review | June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present a real-time deployment opportunity aligning RippleNet and XRP with a post-strike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stabilization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Baltic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Corridor.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sovereign-compliant, infrastructure-ready liquidity spine stretching from the Baltic Sea to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Caspian Basin. It is a secure, programmable, non-maritime trade vector intended to mitigate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volatility caused by recent global escalations.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the June 2025 U.S. strike on Iranian nuclear infrastructure, existing global financial routes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entered a state of latent disruption. Key chokepoints-Strait of Hormuz, Suez, Red Sea-are now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nodes. Eastern Europe and the Caucasus are recalibrating their geopolitical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alignments. NATO-aligned nations are actively seeking programmable financial resilience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Ripple is uniquely positioned to lead a digital liquidity corridor that stabilizes trade and currency flow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 region now primed for rapid reformation.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OPPORTUNITY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Baltic Corridor leverages: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Estonia, Latvia, Lithuania, and Poland as digital-first, NATO-secure on-ramps.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Ukraine and Georgia as programmable sovereign nodes.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Azerbaijan and Kazakhstan as Eastern energy/data uplinks.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corridor creates: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non-naval cross-border liquidity highway, XRP-native.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Immediate deployment zones for CBDC pilots, cross-border settlement, and AI-regulated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foundation for SIP (Sentient Infrastructure Protocol) governance architecture, to be layered 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II.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DEPLOYMENT OUTLINE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RippleNet expansion through existing partnerships in Ukraine and Eastern Europe.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Initiation of test corridors using XRP as bridge asset between NATO-aligned and post-Soviet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institutions.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Corridor integration with potential Baltic Sea to Black Sea to Caspian spine.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Political momentum already exists. This is an opportunity to secure XRP utility on a multinational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scale, separate from U.S. regulatory pacing.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RECOMMENDATION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closed-session review with Ripple Strategic Initiatives and Central Bank Engagement teams.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Timeframe: Immediate - within 7 business days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Joshua Johosky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In San Francisco Friday evening | Available for in-person briefing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corridor does not require permission. It requires precision.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T.B.C. is ready.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for internal eyes only.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Ripple Labs, Strategic Engagement.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under operational discretion, June 2025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