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107074" w14:textId="77777777" w:rsidR="007D75A8" w:rsidRPr="00853FE4" w:rsidRDefault="007D75A8">
      <w:pPr>
        <w:rPr>
          <w:color w:val="000000" w:themeColor="text1"/>
        </w:rPr>
      </w:pPr>
    </w:p>
    <w:p w14:paraId="2CB6F26D" w14:textId="77777777" w:rsidR="007D75A8" w:rsidRPr="00853FE4" w:rsidRDefault="007D75A8">
      <w:pPr>
        <w:rPr>
          <w:color w:val="000000" w:themeColor="text1"/>
        </w:rPr>
      </w:pPr>
    </w:p>
    <w:p w14:paraId="017F02BD" w14:textId="77777777" w:rsidR="007D75A8" w:rsidRPr="00853FE4" w:rsidRDefault="007D75A8">
      <w:pPr>
        <w:rPr>
          <w:color w:val="000000" w:themeColor="text1"/>
        </w:rPr>
      </w:pPr>
    </w:p>
    <w:p w14:paraId="0098B68D" w14:textId="77777777" w:rsidR="007D75A8" w:rsidRPr="00853FE4" w:rsidRDefault="007D75A8">
      <w:pPr>
        <w:rPr>
          <w:color w:val="000000" w:themeColor="text1"/>
        </w:rPr>
      </w:pPr>
    </w:p>
    <w:p w14:paraId="7D9FE0F0" w14:textId="77777777" w:rsidR="007D75A8" w:rsidRPr="00853FE4" w:rsidRDefault="00000000">
      <w:pPr>
        <w:tabs>
          <w:tab w:val="center" w:pos="4680"/>
          <w:tab w:val="right" w:pos="9360"/>
        </w:tabs>
        <w:spacing w:after="200"/>
        <w:jc w:val="center"/>
        <w:rPr>
          <w:color w:val="000000" w:themeColor="text1"/>
        </w:rPr>
      </w:pPr>
      <w:bookmarkStart w:id="0" w:name="_gjdgxs" w:colFirst="0" w:colLast="0"/>
      <w:bookmarkEnd w:id="0"/>
      <w:r w:rsidRPr="00853FE4">
        <w:rPr>
          <w:rFonts w:ascii="Cambria" w:eastAsia="Cambria" w:hAnsi="Cambria" w:cs="Cambria"/>
          <w:b/>
          <w:bCs/>
          <w:noProof/>
          <w:color w:val="000000" w:themeColor="text1"/>
          <w:sz w:val="36"/>
          <w:szCs w:val="36"/>
        </w:rPr>
        <w:drawing>
          <wp:inline distT="114300" distB="114300" distL="114300" distR="114300" wp14:anchorId="0EEFAA49" wp14:editId="1B64622D">
            <wp:extent cx="1563490" cy="159141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r="64741" b="-3489"/>
                    <a:stretch>
                      <a:fillRect/>
                    </a:stretch>
                  </pic:blipFill>
                  <pic:spPr>
                    <a:xfrm>
                      <a:off x="0" y="0"/>
                      <a:ext cx="1563490" cy="1591410"/>
                    </a:xfrm>
                    <a:prstGeom prst="rect">
                      <a:avLst/>
                    </a:prstGeom>
                    <a:ln/>
                  </pic:spPr>
                </pic:pic>
              </a:graphicData>
            </a:graphic>
          </wp:inline>
        </w:drawing>
      </w:r>
    </w:p>
    <w:p w14:paraId="798558D8" w14:textId="77777777" w:rsidR="007D75A8" w:rsidRPr="00853FE4" w:rsidRDefault="007D75A8">
      <w:pPr>
        <w:rPr>
          <w:color w:val="000000" w:themeColor="text1"/>
        </w:rPr>
      </w:pPr>
    </w:p>
    <w:p w14:paraId="0BAE5F84" w14:textId="77777777" w:rsidR="007D75A8" w:rsidRPr="00853FE4" w:rsidRDefault="00000000">
      <w:pPr>
        <w:spacing w:after="200"/>
        <w:jc w:val="center"/>
        <w:rPr>
          <w:color w:val="000000" w:themeColor="text1"/>
        </w:rPr>
      </w:pPr>
      <w:r w:rsidRPr="00853FE4">
        <w:rPr>
          <w:rFonts w:ascii="Cambria" w:eastAsia="Cambria" w:hAnsi="Cambria" w:cs="Cambria"/>
          <w:b/>
          <w:bCs/>
          <w:noProof/>
          <w:color w:val="000000" w:themeColor="text1"/>
          <w:sz w:val="36"/>
          <w:szCs w:val="36"/>
        </w:rPr>
        <w:drawing>
          <wp:inline distT="114300" distB="114300" distL="114300" distR="114300" wp14:anchorId="75171FE7" wp14:editId="132FCCAB">
            <wp:extent cx="2705100" cy="1441035"/>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l="38141" b="4907"/>
                    <a:stretch>
                      <a:fillRect/>
                    </a:stretch>
                  </pic:blipFill>
                  <pic:spPr>
                    <a:xfrm>
                      <a:off x="0" y="0"/>
                      <a:ext cx="2705100" cy="1441035"/>
                    </a:xfrm>
                    <a:prstGeom prst="rect">
                      <a:avLst/>
                    </a:prstGeom>
                    <a:ln/>
                  </pic:spPr>
                </pic:pic>
              </a:graphicData>
            </a:graphic>
          </wp:inline>
        </w:drawing>
      </w:r>
    </w:p>
    <w:p w14:paraId="3B9306F9" w14:textId="77777777" w:rsidR="007D75A8" w:rsidRPr="00853FE4" w:rsidRDefault="007D75A8">
      <w:pPr>
        <w:rPr>
          <w:color w:val="000000" w:themeColor="text1"/>
        </w:rPr>
      </w:pPr>
    </w:p>
    <w:p w14:paraId="127F44E5" w14:textId="77777777" w:rsidR="007D75A8" w:rsidRPr="00853FE4" w:rsidRDefault="00000000">
      <w:pPr>
        <w:pStyle w:val="Title"/>
        <w:rPr>
          <w:color w:val="000000" w:themeColor="text1"/>
        </w:rPr>
      </w:pPr>
      <w:bookmarkStart w:id="1" w:name="_rji0rfpchpo" w:colFirst="0" w:colLast="0"/>
      <w:bookmarkEnd w:id="1"/>
      <w:r w:rsidRPr="00853FE4">
        <w:rPr>
          <w:color w:val="000000" w:themeColor="text1"/>
        </w:rPr>
        <w:t>An Architectural Approach to Cross-Domain Data Interoperability at NOAA Fisheries</w:t>
      </w:r>
    </w:p>
    <w:p w14:paraId="3782AEC7" w14:textId="77777777" w:rsidR="007D75A8" w:rsidRPr="00853FE4" w:rsidRDefault="007D75A8">
      <w:pPr>
        <w:rPr>
          <w:color w:val="000000" w:themeColor="text1"/>
        </w:rPr>
      </w:pPr>
    </w:p>
    <w:p w14:paraId="2B77DADE" w14:textId="77777777" w:rsidR="007D75A8" w:rsidRPr="00853FE4" w:rsidRDefault="00000000">
      <w:pPr>
        <w:pStyle w:val="Subtitle"/>
        <w:rPr>
          <w:rFonts w:ascii="Times New Roman" w:eastAsia="Times New Roman" w:hAnsi="Times New Roman" w:cs="Times New Roman"/>
          <w:color w:val="000000" w:themeColor="text1"/>
        </w:rPr>
      </w:pPr>
      <w:bookmarkStart w:id="2" w:name="_4f2rzyshty6t" w:colFirst="0" w:colLast="0"/>
      <w:bookmarkEnd w:id="2"/>
      <w:r w:rsidRPr="00853FE4">
        <w:rPr>
          <w:rFonts w:ascii="Times New Roman" w:eastAsia="Times New Roman" w:hAnsi="Times New Roman" w:cs="Times New Roman"/>
          <w:color w:val="000000" w:themeColor="text1"/>
        </w:rPr>
        <w:t>Applying the Data Mesh Paradigm in Google Cloud Platform</w:t>
      </w:r>
    </w:p>
    <w:p w14:paraId="30143092" w14:textId="77777777" w:rsidR="007D75A8" w:rsidRPr="00853FE4" w:rsidRDefault="00000000">
      <w:pPr>
        <w:jc w:val="center"/>
        <w:rPr>
          <w:i/>
          <w:iCs/>
          <w:color w:val="000000" w:themeColor="text1"/>
        </w:rPr>
      </w:pPr>
      <w:r w:rsidRPr="00853FE4">
        <w:rPr>
          <w:i/>
          <w:iCs/>
          <w:color w:val="000000" w:themeColor="text1"/>
        </w:rPr>
        <w:t>This paper proposes a reference architecture that applies data mesh principles to the NOAA Fisheries data ecosystem, instantiated on Google Cloud Platform and grounded in the Electronic Monitoring data product as a running case study, to enable cross-domain data interoperability while satisfying Magnuson-Stevens Act confidentiality requirements among other requirements.</w:t>
      </w:r>
    </w:p>
    <w:p w14:paraId="1198142E" w14:textId="77777777" w:rsidR="007D75A8" w:rsidRPr="00853FE4" w:rsidRDefault="007D75A8">
      <w:pPr>
        <w:jc w:val="center"/>
        <w:rPr>
          <w:color w:val="000000" w:themeColor="text1"/>
          <w:sz w:val="48"/>
          <w:szCs w:val="48"/>
        </w:rPr>
      </w:pPr>
    </w:p>
    <w:p w14:paraId="124AD299" w14:textId="77777777" w:rsidR="007D75A8" w:rsidRPr="00853FE4" w:rsidRDefault="00000000">
      <w:pPr>
        <w:jc w:val="center"/>
        <w:rPr>
          <w:color w:val="000000" w:themeColor="text1"/>
        </w:rPr>
      </w:pPr>
      <w:r w:rsidRPr="00853FE4">
        <w:rPr>
          <w:color w:val="000000" w:themeColor="text1"/>
        </w:rPr>
        <w:t>June 3, 2026</w:t>
      </w:r>
      <w:r w:rsidRPr="00853FE4">
        <w:rPr>
          <w:color w:val="000000" w:themeColor="text1"/>
        </w:rPr>
        <w:br w:type="page"/>
      </w:r>
    </w:p>
    <w:p w14:paraId="5B7DFFA9" w14:textId="77777777" w:rsidR="007D75A8" w:rsidRPr="00853FE4" w:rsidRDefault="00000000">
      <w:pPr>
        <w:rPr>
          <w:color w:val="000000" w:themeColor="text1"/>
          <w:sz w:val="28"/>
          <w:szCs w:val="28"/>
        </w:rPr>
      </w:pPr>
      <w:r w:rsidRPr="00853FE4">
        <w:rPr>
          <w:color w:val="000000" w:themeColor="text1"/>
          <w:sz w:val="28"/>
          <w:szCs w:val="28"/>
        </w:rPr>
        <w:lastRenderedPageBreak/>
        <w:t>Abstract</w:t>
      </w:r>
    </w:p>
    <w:p w14:paraId="0BC5EC8F" w14:textId="77777777" w:rsidR="007D75A8" w:rsidRPr="00853FE4" w:rsidRDefault="007D75A8">
      <w:pPr>
        <w:rPr>
          <w:color w:val="000000" w:themeColor="text1"/>
          <w:sz w:val="28"/>
          <w:szCs w:val="28"/>
        </w:rPr>
      </w:pPr>
    </w:p>
    <w:p w14:paraId="4310EE95" w14:textId="77777777" w:rsidR="007D75A8" w:rsidRPr="00853FE4" w:rsidRDefault="00000000">
      <w:pPr>
        <w:rPr>
          <w:color w:val="000000" w:themeColor="text1"/>
        </w:rPr>
      </w:pPr>
      <w:r w:rsidRPr="00853FE4">
        <w:rPr>
          <w:color w:val="000000" w:themeColor="text1"/>
        </w:rPr>
        <w:t>The analytical data that supports U.S. fisheries management resides in systems that decades of programmatic autonomy have fragmented across organizational boundaries, cloud platforms, and governance regimes. When data cannot be assembled across domains, management decisions are delayed, compliance costs multiply, and public confidence in the stewardship of a shared resource declines. The architectural problem cascades into a mission problem.</w:t>
      </w:r>
    </w:p>
    <w:p w14:paraId="7B9DB2A7" w14:textId="77777777" w:rsidR="007D75A8" w:rsidRPr="00853FE4" w:rsidRDefault="007D75A8">
      <w:pPr>
        <w:pBdr>
          <w:top w:val="nil"/>
          <w:left w:val="nil"/>
          <w:bottom w:val="nil"/>
          <w:right w:val="nil"/>
          <w:between w:val="nil"/>
        </w:pBdr>
        <w:rPr>
          <w:color w:val="000000" w:themeColor="text1"/>
        </w:rPr>
      </w:pPr>
    </w:p>
    <w:p w14:paraId="6BDB996A" w14:textId="77777777" w:rsidR="007D75A8" w:rsidRPr="00853FE4" w:rsidRDefault="00000000">
      <w:pPr>
        <w:rPr>
          <w:color w:val="000000" w:themeColor="text1"/>
        </w:rPr>
      </w:pPr>
      <w:r w:rsidRPr="00853FE4">
        <w:rPr>
          <w:color w:val="000000" w:themeColor="text1"/>
        </w:rPr>
        <w:t>This paper addresses five research questions: (RQ1) What constitutes an appropriate data mesh reference architecture for NOAA Fisheries? (RQ2) How can the four data mesh principles (domain ownership, data as a product, self-serve infrastructure, and federated computational governance) be instantiated using specific GCP services? (RQ3) How can federal regulatory and security requirements, including MSA confidentiality provisions and NIST SP 800-53 controls, be encoded as computational governance policies enforced by the platform rather than by individual system owners? (RQ4) What is a viable migration path from the current fragmented state using proven software engineering patterns? (RQ5) What organizational and operational capabilities are necessary to sustain a data mesh beyond initial migration?</w:t>
      </w:r>
    </w:p>
    <w:p w14:paraId="62997529" w14:textId="77777777" w:rsidR="007D75A8" w:rsidRPr="00853FE4" w:rsidRDefault="007D75A8">
      <w:pPr>
        <w:pBdr>
          <w:top w:val="nil"/>
          <w:left w:val="nil"/>
          <w:bottom w:val="nil"/>
          <w:right w:val="nil"/>
          <w:between w:val="nil"/>
        </w:pBdr>
        <w:rPr>
          <w:color w:val="000000" w:themeColor="text1"/>
        </w:rPr>
      </w:pPr>
    </w:p>
    <w:p w14:paraId="34309743" w14:textId="77777777" w:rsidR="007D75A8" w:rsidRPr="00853FE4" w:rsidRDefault="00000000">
      <w:pPr>
        <w:rPr>
          <w:color w:val="000000" w:themeColor="text1"/>
        </w:rPr>
      </w:pPr>
      <w:r w:rsidRPr="00853FE4">
        <w:rPr>
          <w:color w:val="000000" w:themeColor="text1"/>
        </w:rPr>
        <w:t>The resulting reference architecture provides a GCP-specific landing zone design with resource hierarchy, Shared VPC networking, IAM custom role definitions, and a label-based FinOps chargeback model; a three-tier NIST 800-53 control inheritance strategy enabling continuous authorization; and a pattern-based evolutionary migration strategy using Strangler Fig, Anti-Corruption Layer, and Parallel Run patterns. Commercial Fishing Electronic Monitoring serves as a running case study through all five subsections of the architecture. The paper examines tradeoffs and limitations, assesses the limits of the mesh pattern at NOAA enterprise scale, and identifies future directions for AI and machine learning integration and public data consumption.</w:t>
      </w:r>
    </w:p>
    <w:p w14:paraId="4727B85C" w14:textId="77777777" w:rsidR="007D75A8" w:rsidRPr="00853FE4" w:rsidRDefault="007D75A8">
      <w:pPr>
        <w:pBdr>
          <w:top w:val="nil"/>
          <w:left w:val="nil"/>
          <w:bottom w:val="nil"/>
          <w:right w:val="nil"/>
          <w:between w:val="nil"/>
        </w:pBdr>
        <w:rPr>
          <w:color w:val="000000" w:themeColor="text1"/>
        </w:rPr>
      </w:pPr>
    </w:p>
    <w:p w14:paraId="59D88526" w14:textId="77777777" w:rsidR="007D75A8" w:rsidRPr="00853FE4" w:rsidRDefault="00000000">
      <w:pPr>
        <w:rPr>
          <w:color w:val="000000" w:themeColor="text1"/>
        </w:rPr>
      </w:pPr>
      <w:r w:rsidRPr="00853FE4">
        <w:rPr>
          <w:i/>
          <w:iCs/>
          <w:color w:val="000000" w:themeColor="text1"/>
        </w:rPr>
        <w:t>Keywords:</w:t>
      </w:r>
      <w:r w:rsidRPr="00853FE4">
        <w:rPr>
          <w:color w:val="000000" w:themeColor="text1"/>
        </w:rPr>
        <w:t xml:space="preserve"> data mesh, reference architecture, NOAA Fisheries, Google Cloud Platform, domain ownership, data contracts, federated governance, self-serve platform, electronic monitoring, Magnuson-Stevens Act, NIST SP 800-53, computational compliance, legacy system migration, Strangler Fig pattern, row-level security, cloud landing zone, data-as-a-product, FinOps, Fishery Monitoring, evolutionary architecture</w:t>
      </w:r>
      <w:r w:rsidRPr="00853FE4">
        <w:rPr>
          <w:color w:val="000000" w:themeColor="text1"/>
        </w:rPr>
        <w:br w:type="page"/>
      </w:r>
    </w:p>
    <w:p w14:paraId="6278F9F0" w14:textId="77777777" w:rsidR="007D75A8" w:rsidRPr="00853FE4" w:rsidRDefault="00000000">
      <w:pPr>
        <w:rPr>
          <w:color w:val="000000" w:themeColor="text1"/>
          <w:sz w:val="28"/>
          <w:szCs w:val="28"/>
        </w:rPr>
      </w:pPr>
      <w:r w:rsidRPr="00853FE4">
        <w:rPr>
          <w:color w:val="000000" w:themeColor="text1"/>
          <w:sz w:val="28"/>
          <w:szCs w:val="28"/>
        </w:rPr>
        <w:lastRenderedPageBreak/>
        <w:t>Table of Contents</w:t>
      </w:r>
    </w:p>
    <w:sdt>
      <w:sdtPr>
        <w:rPr>
          <w:color w:val="000000" w:themeColor="text1"/>
        </w:rPr>
        <w:id w:val="-142295184"/>
        <w:docPartObj>
          <w:docPartGallery w:val="Table of Contents"/>
          <w:docPartUnique/>
        </w:docPartObj>
      </w:sdtPr>
      <w:sdtContent>
        <w:p w14:paraId="5619650C" w14:textId="77777777" w:rsidR="007D75A8" w:rsidRPr="00853FE4" w:rsidRDefault="00000000">
          <w:pPr>
            <w:widowControl w:val="0"/>
            <w:tabs>
              <w:tab w:val="right" w:leader="dot" w:pos="12000"/>
            </w:tabs>
            <w:spacing w:before="60" w:line="240" w:lineRule="auto"/>
            <w:rPr>
              <w:color w:val="000000" w:themeColor="text1"/>
              <w:sz w:val="22"/>
              <w:szCs w:val="22"/>
            </w:rPr>
          </w:pPr>
          <w:r w:rsidRPr="00853FE4">
            <w:rPr>
              <w:color w:val="000000" w:themeColor="text1"/>
            </w:rPr>
            <w:fldChar w:fldCharType="begin"/>
          </w:r>
          <w:r w:rsidRPr="00853FE4">
            <w:rPr>
              <w:color w:val="000000" w:themeColor="text1"/>
            </w:rPr>
            <w:instrText xml:space="preserve"> TOC \h \u \z \t "Heading 1,1,Heading 2,2,Heading 5,5,Heading 6,6,"</w:instrText>
          </w:r>
          <w:r w:rsidRPr="00853FE4">
            <w:rPr>
              <w:color w:val="000000" w:themeColor="text1"/>
            </w:rPr>
            <w:fldChar w:fldCharType="separate"/>
          </w:r>
          <w:hyperlink w:anchor="_gkzmp2a4nois">
            <w:r w:rsidRPr="00853FE4">
              <w:rPr>
                <w:color w:val="000000" w:themeColor="text1"/>
                <w:sz w:val="22"/>
                <w:szCs w:val="22"/>
              </w:rPr>
              <w:t>1.0 Introduction</w:t>
            </w:r>
            <w:r w:rsidRPr="00853FE4">
              <w:rPr>
                <w:color w:val="000000" w:themeColor="text1"/>
                <w:sz w:val="22"/>
                <w:szCs w:val="22"/>
              </w:rPr>
              <w:tab/>
              <w:t>6</w:t>
            </w:r>
          </w:hyperlink>
        </w:p>
        <w:p w14:paraId="274656AD"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nhqghxdtiyot">
            <w:r w:rsidRPr="00853FE4">
              <w:rPr>
                <w:color w:val="000000" w:themeColor="text1"/>
                <w:sz w:val="22"/>
                <w:szCs w:val="22"/>
              </w:rPr>
              <w:t>2.0 The Fishery Data Ecosystem: Challenges and Regulatory Context</w:t>
            </w:r>
            <w:r w:rsidRPr="00853FE4">
              <w:rPr>
                <w:color w:val="000000" w:themeColor="text1"/>
                <w:sz w:val="22"/>
                <w:szCs w:val="22"/>
              </w:rPr>
              <w:tab/>
              <w:t>10</w:t>
            </w:r>
          </w:hyperlink>
        </w:p>
        <w:p w14:paraId="5077F21B"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6aw7bw250xoj">
            <w:r w:rsidRPr="00853FE4">
              <w:rPr>
                <w:color w:val="000000" w:themeColor="text1"/>
                <w:sz w:val="22"/>
                <w:szCs w:val="22"/>
              </w:rPr>
              <w:t>3.0 The Evolution of Big Data Architectures</w:t>
            </w:r>
            <w:r w:rsidRPr="00853FE4">
              <w:rPr>
                <w:color w:val="000000" w:themeColor="text1"/>
                <w:sz w:val="22"/>
                <w:szCs w:val="22"/>
              </w:rPr>
              <w:tab/>
              <w:t>17</w:t>
            </w:r>
          </w:hyperlink>
        </w:p>
        <w:p w14:paraId="248FC5AF"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yxz6sx973pjm">
            <w:r w:rsidRPr="00853FE4">
              <w:rPr>
                <w:color w:val="000000" w:themeColor="text1"/>
                <w:sz w:val="22"/>
                <w:szCs w:val="22"/>
              </w:rPr>
              <w:t>4.0 Data Mesh: Principles and Foundations</w:t>
            </w:r>
            <w:r w:rsidRPr="00853FE4">
              <w:rPr>
                <w:color w:val="000000" w:themeColor="text1"/>
                <w:sz w:val="22"/>
                <w:szCs w:val="22"/>
              </w:rPr>
              <w:tab/>
              <w:t>24</w:t>
            </w:r>
          </w:hyperlink>
        </w:p>
        <w:p w14:paraId="3A9F962D"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uhs2cuw12mgh">
            <w:r w:rsidRPr="00853FE4">
              <w:rPr>
                <w:color w:val="000000" w:themeColor="text1"/>
                <w:sz w:val="22"/>
                <w:szCs w:val="22"/>
              </w:rPr>
              <w:t>5.0 A Data Mesh Reference Architecture for NOAA Fisheries</w:t>
            </w:r>
            <w:r w:rsidRPr="00853FE4">
              <w:rPr>
                <w:color w:val="000000" w:themeColor="text1"/>
                <w:sz w:val="22"/>
                <w:szCs w:val="22"/>
              </w:rPr>
              <w:tab/>
              <w:t>31</w:t>
            </w:r>
          </w:hyperlink>
        </w:p>
        <w:p w14:paraId="175120C1"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giqtkjl235ni">
            <w:r w:rsidRPr="00853FE4">
              <w:rPr>
                <w:color w:val="000000" w:themeColor="text1"/>
                <w:sz w:val="22"/>
                <w:szCs w:val="22"/>
              </w:rPr>
              <w:t>5.1 Domain Decomposition and Domain Ownership</w:t>
            </w:r>
            <w:r w:rsidRPr="00853FE4">
              <w:rPr>
                <w:color w:val="000000" w:themeColor="text1"/>
                <w:sz w:val="22"/>
                <w:szCs w:val="22"/>
              </w:rPr>
              <w:tab/>
              <w:t>32</w:t>
            </w:r>
          </w:hyperlink>
        </w:p>
        <w:p w14:paraId="1E624EE0"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xllmjqrzm62e">
            <w:r w:rsidRPr="00853FE4">
              <w:rPr>
                <w:color w:val="000000" w:themeColor="text1"/>
                <w:sz w:val="22"/>
                <w:szCs w:val="22"/>
              </w:rPr>
              <w:t>5.2 Data as a Product: The Electronic Monitoring Example</w:t>
            </w:r>
            <w:r w:rsidRPr="00853FE4">
              <w:rPr>
                <w:color w:val="000000" w:themeColor="text1"/>
                <w:sz w:val="22"/>
                <w:szCs w:val="22"/>
              </w:rPr>
              <w:tab/>
              <w:t>38</w:t>
            </w:r>
          </w:hyperlink>
        </w:p>
        <w:p w14:paraId="3C78BB25"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xbh49z8scqj1">
            <w:r w:rsidRPr="00853FE4">
              <w:rPr>
                <w:color w:val="000000" w:themeColor="text1"/>
                <w:sz w:val="22"/>
                <w:szCs w:val="22"/>
              </w:rPr>
              <w:t>5.3 The Self-Serve Data Platform</w:t>
            </w:r>
            <w:r w:rsidRPr="00853FE4">
              <w:rPr>
                <w:color w:val="000000" w:themeColor="text1"/>
                <w:sz w:val="22"/>
                <w:szCs w:val="22"/>
              </w:rPr>
              <w:tab/>
              <w:t>43</w:t>
            </w:r>
          </w:hyperlink>
        </w:p>
        <w:p w14:paraId="7EB05720"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3vanwwnr3n4w">
            <w:r w:rsidRPr="00853FE4">
              <w:rPr>
                <w:color w:val="000000" w:themeColor="text1"/>
                <w:sz w:val="22"/>
                <w:szCs w:val="22"/>
              </w:rPr>
              <w:t>5.4 Federated Computational Governance</w:t>
            </w:r>
            <w:r w:rsidRPr="00853FE4">
              <w:rPr>
                <w:color w:val="000000" w:themeColor="text1"/>
                <w:sz w:val="22"/>
                <w:szCs w:val="22"/>
              </w:rPr>
              <w:tab/>
              <w:t>47</w:t>
            </w:r>
          </w:hyperlink>
        </w:p>
        <w:p w14:paraId="4E0B5AEA"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1lzy3yr2hdk4">
            <w:r w:rsidRPr="00853FE4">
              <w:rPr>
                <w:color w:val="000000" w:themeColor="text1"/>
                <w:sz w:val="22"/>
                <w:szCs w:val="22"/>
              </w:rPr>
              <w:t>5.5 Integrating the Principles</w:t>
            </w:r>
            <w:r w:rsidRPr="00853FE4">
              <w:rPr>
                <w:color w:val="000000" w:themeColor="text1"/>
                <w:sz w:val="22"/>
                <w:szCs w:val="22"/>
              </w:rPr>
              <w:tab/>
              <w:t>50</w:t>
            </w:r>
          </w:hyperlink>
        </w:p>
        <w:p w14:paraId="24AB9941"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gh8j27q2g93e">
            <w:r w:rsidRPr="00853FE4">
              <w:rPr>
                <w:color w:val="000000" w:themeColor="text1"/>
                <w:sz w:val="22"/>
                <w:szCs w:val="22"/>
              </w:rPr>
              <w:t>5.6 The Broader Cloud Estate</w:t>
            </w:r>
            <w:r w:rsidRPr="00853FE4">
              <w:rPr>
                <w:color w:val="000000" w:themeColor="text1"/>
                <w:sz w:val="22"/>
                <w:szCs w:val="22"/>
              </w:rPr>
              <w:tab/>
              <w:t>51</w:t>
            </w:r>
          </w:hyperlink>
        </w:p>
        <w:p w14:paraId="662308B6"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9a4lex2zjbb1">
            <w:r w:rsidRPr="00853FE4">
              <w:rPr>
                <w:color w:val="000000" w:themeColor="text1"/>
                <w:sz w:val="22"/>
                <w:szCs w:val="22"/>
              </w:rPr>
              <w:t>6.0 Migration and Adoption Strategy</w:t>
            </w:r>
            <w:r w:rsidRPr="00853FE4">
              <w:rPr>
                <w:color w:val="000000" w:themeColor="text1"/>
                <w:sz w:val="22"/>
                <w:szCs w:val="22"/>
              </w:rPr>
              <w:tab/>
              <w:t>60</w:t>
            </w:r>
          </w:hyperlink>
        </w:p>
        <w:p w14:paraId="69120D80"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9lausm5rsy0u">
            <w:r w:rsidRPr="00853FE4">
              <w:rPr>
                <w:color w:val="000000" w:themeColor="text1"/>
                <w:sz w:val="22"/>
                <w:szCs w:val="22"/>
              </w:rPr>
              <w:t>6.1 Guiding Principles</w:t>
            </w:r>
            <w:r w:rsidRPr="00853FE4">
              <w:rPr>
                <w:color w:val="000000" w:themeColor="text1"/>
                <w:sz w:val="22"/>
                <w:szCs w:val="22"/>
              </w:rPr>
              <w:tab/>
              <w:t>60</w:t>
            </w:r>
          </w:hyperlink>
        </w:p>
        <w:p w14:paraId="749CCA1A"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ugwhuqgatkag">
            <w:r w:rsidRPr="00853FE4">
              <w:rPr>
                <w:color w:val="000000" w:themeColor="text1"/>
                <w:sz w:val="22"/>
                <w:szCs w:val="22"/>
              </w:rPr>
              <w:t>6.2 Architectural Patterns for Migration</w:t>
            </w:r>
            <w:r w:rsidRPr="00853FE4">
              <w:rPr>
                <w:color w:val="000000" w:themeColor="text1"/>
                <w:sz w:val="22"/>
                <w:szCs w:val="22"/>
              </w:rPr>
              <w:tab/>
              <w:t>62</w:t>
            </w:r>
          </w:hyperlink>
        </w:p>
        <w:p w14:paraId="3E024926"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o0xhps6btls2">
            <w:r w:rsidRPr="00853FE4">
              <w:rPr>
                <w:color w:val="000000" w:themeColor="text1"/>
                <w:sz w:val="22"/>
                <w:szCs w:val="22"/>
              </w:rPr>
              <w:t>6.3 Organizational Change Management</w:t>
            </w:r>
            <w:r w:rsidRPr="00853FE4">
              <w:rPr>
                <w:color w:val="000000" w:themeColor="text1"/>
                <w:sz w:val="22"/>
                <w:szCs w:val="22"/>
              </w:rPr>
              <w:tab/>
              <w:t>64</w:t>
            </w:r>
          </w:hyperlink>
        </w:p>
        <w:p w14:paraId="78BCFA76"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c122wytyr1f2">
            <w:r w:rsidRPr="00853FE4">
              <w:rPr>
                <w:color w:val="000000" w:themeColor="text1"/>
                <w:sz w:val="22"/>
                <w:szCs w:val="22"/>
              </w:rPr>
              <w:t>6.4 Capability Building</w:t>
            </w:r>
            <w:r w:rsidRPr="00853FE4">
              <w:rPr>
                <w:color w:val="000000" w:themeColor="text1"/>
                <w:sz w:val="22"/>
                <w:szCs w:val="22"/>
              </w:rPr>
              <w:tab/>
              <w:t>65</w:t>
            </w:r>
          </w:hyperlink>
        </w:p>
        <w:p w14:paraId="04E181E6"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tpolhcbxfldp">
            <w:r w:rsidRPr="00853FE4">
              <w:rPr>
                <w:color w:val="000000" w:themeColor="text1"/>
                <w:sz w:val="22"/>
                <w:szCs w:val="22"/>
              </w:rPr>
              <w:t>7.0 Tradeoffs, Risks, and Discussion</w:t>
            </w:r>
            <w:r w:rsidRPr="00853FE4">
              <w:rPr>
                <w:color w:val="000000" w:themeColor="text1"/>
                <w:sz w:val="22"/>
                <w:szCs w:val="22"/>
              </w:rPr>
              <w:tab/>
              <w:t>67</w:t>
            </w:r>
          </w:hyperlink>
        </w:p>
        <w:p w14:paraId="5A40FFC9"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onwrdied9wpk">
            <w:r w:rsidRPr="00853FE4">
              <w:rPr>
                <w:color w:val="000000" w:themeColor="text1"/>
                <w:sz w:val="22"/>
                <w:szCs w:val="22"/>
              </w:rPr>
              <w:t>7.1 Organizational Disruption and Cultural Resistance</w:t>
            </w:r>
            <w:r w:rsidRPr="00853FE4">
              <w:rPr>
                <w:color w:val="000000" w:themeColor="text1"/>
                <w:sz w:val="22"/>
                <w:szCs w:val="22"/>
              </w:rPr>
              <w:tab/>
              <w:t>67</w:t>
            </w:r>
          </w:hyperlink>
        </w:p>
        <w:p w14:paraId="0AA1BACF"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rs0j4cadzhm8">
            <w:r w:rsidRPr="00853FE4">
              <w:rPr>
                <w:color w:val="000000" w:themeColor="text1"/>
                <w:sz w:val="22"/>
                <w:szCs w:val="22"/>
              </w:rPr>
              <w:t>7.2 Platform Investment and Total Cost of Ownership</w:t>
            </w:r>
            <w:r w:rsidRPr="00853FE4">
              <w:rPr>
                <w:color w:val="000000" w:themeColor="text1"/>
                <w:sz w:val="22"/>
                <w:szCs w:val="22"/>
              </w:rPr>
              <w:tab/>
              <w:t>70</w:t>
            </w:r>
          </w:hyperlink>
        </w:p>
        <w:p w14:paraId="7988432E"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nod9qxfvb3py">
            <w:r w:rsidRPr="00853FE4">
              <w:rPr>
                <w:color w:val="000000" w:themeColor="text1"/>
                <w:sz w:val="22"/>
                <w:szCs w:val="22"/>
              </w:rPr>
              <w:t>7.3 Federated Governance Complexity</w:t>
            </w:r>
            <w:r w:rsidRPr="00853FE4">
              <w:rPr>
                <w:color w:val="000000" w:themeColor="text1"/>
                <w:sz w:val="22"/>
                <w:szCs w:val="22"/>
              </w:rPr>
              <w:tab/>
              <w:t>73</w:t>
            </w:r>
          </w:hyperlink>
        </w:p>
        <w:p w14:paraId="7B862D73"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mb2jcvg0l8t3">
            <w:r w:rsidRPr="00853FE4">
              <w:rPr>
                <w:color w:val="000000" w:themeColor="text1"/>
                <w:sz w:val="22"/>
                <w:szCs w:val="22"/>
              </w:rPr>
              <w:t>7.4 Legacy System Integration Challenges</w:t>
            </w:r>
            <w:r w:rsidRPr="00853FE4">
              <w:rPr>
                <w:color w:val="000000" w:themeColor="text1"/>
                <w:sz w:val="22"/>
                <w:szCs w:val="22"/>
              </w:rPr>
              <w:tab/>
              <w:t>76</w:t>
            </w:r>
          </w:hyperlink>
        </w:p>
        <w:p w14:paraId="658A8AA3"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172khovu2zyb">
            <w:r w:rsidRPr="00853FE4">
              <w:rPr>
                <w:color w:val="000000" w:themeColor="text1"/>
                <w:sz w:val="22"/>
                <w:szCs w:val="22"/>
              </w:rPr>
              <w:t>7.5 Risk of Fragmentation Without Integration</w:t>
            </w:r>
            <w:r w:rsidRPr="00853FE4">
              <w:rPr>
                <w:color w:val="000000" w:themeColor="text1"/>
                <w:sz w:val="22"/>
                <w:szCs w:val="22"/>
              </w:rPr>
              <w:tab/>
              <w:t>79</w:t>
            </w:r>
          </w:hyperlink>
        </w:p>
        <w:p w14:paraId="0EF584C8"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8dlcxgjc4atq">
            <w:r w:rsidRPr="00853FE4">
              <w:rPr>
                <w:color w:val="000000" w:themeColor="text1"/>
                <w:sz w:val="22"/>
                <w:szCs w:val="22"/>
              </w:rPr>
              <w:t>7.6 Change Management as a Distinct Challenge</w:t>
            </w:r>
            <w:r w:rsidRPr="00853FE4">
              <w:rPr>
                <w:color w:val="000000" w:themeColor="text1"/>
                <w:sz w:val="22"/>
                <w:szCs w:val="22"/>
              </w:rPr>
              <w:tab/>
              <w:t>81</w:t>
            </w:r>
          </w:hyperlink>
        </w:p>
        <w:p w14:paraId="7BF39FE7"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1j66xcdp674k">
            <w:r w:rsidRPr="00853FE4">
              <w:rPr>
                <w:color w:val="000000" w:themeColor="text1"/>
                <w:sz w:val="22"/>
                <w:szCs w:val="22"/>
              </w:rPr>
              <w:t>8.0 Scaling to the NOAA Enterprise: Limits and Possibilities</w:t>
            </w:r>
            <w:r w:rsidRPr="00853FE4">
              <w:rPr>
                <w:color w:val="000000" w:themeColor="text1"/>
                <w:sz w:val="22"/>
                <w:szCs w:val="22"/>
              </w:rPr>
              <w:tab/>
              <w:t>84</w:t>
            </w:r>
          </w:hyperlink>
        </w:p>
        <w:p w14:paraId="4C4A6A69"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w0ihlv9rc8z4">
            <w:r w:rsidRPr="00853FE4">
              <w:rPr>
                <w:color w:val="000000" w:themeColor="text1"/>
                <w:sz w:val="22"/>
                <w:szCs w:val="22"/>
              </w:rPr>
              <w:t>8.1 The Limits of the Mesh Pattern at Scale</w:t>
            </w:r>
            <w:r w:rsidRPr="00853FE4">
              <w:rPr>
                <w:color w:val="000000" w:themeColor="text1"/>
                <w:sz w:val="22"/>
                <w:szCs w:val="22"/>
              </w:rPr>
              <w:tab/>
              <w:t>85</w:t>
            </w:r>
          </w:hyperlink>
        </w:p>
        <w:p w14:paraId="5DE123F8"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ydpv0q2jiub">
            <w:r w:rsidRPr="00853FE4">
              <w:rPr>
                <w:color w:val="000000" w:themeColor="text1"/>
                <w:sz w:val="22"/>
                <w:szCs w:val="22"/>
              </w:rPr>
              <w:t>8.2 Where the Mesh Pattern Breaks Down</w:t>
            </w:r>
            <w:r w:rsidRPr="00853FE4">
              <w:rPr>
                <w:color w:val="000000" w:themeColor="text1"/>
                <w:sz w:val="22"/>
                <w:szCs w:val="22"/>
              </w:rPr>
              <w:tab/>
              <w:t>86</w:t>
            </w:r>
          </w:hyperlink>
        </w:p>
        <w:p w14:paraId="212DDB87"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tdzuop3l73x6">
            <w:r w:rsidRPr="00853FE4">
              <w:rPr>
                <w:color w:val="000000" w:themeColor="text1"/>
                <w:sz w:val="22"/>
                <w:szCs w:val="22"/>
              </w:rPr>
              <w:t>8.3 Multi-Cloud Heterogeneity: From Sprawl to Architecture</w:t>
            </w:r>
            <w:r w:rsidRPr="00853FE4">
              <w:rPr>
                <w:color w:val="000000" w:themeColor="text1"/>
                <w:sz w:val="22"/>
                <w:szCs w:val="22"/>
              </w:rPr>
              <w:tab/>
              <w:t>88</w:t>
            </w:r>
          </w:hyperlink>
        </w:p>
        <w:p w14:paraId="774B9C3C"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wu6gxp2xsyek">
            <w:r w:rsidRPr="00853FE4">
              <w:rPr>
                <w:color w:val="000000" w:themeColor="text1"/>
                <w:sz w:val="22"/>
                <w:szCs w:val="22"/>
              </w:rPr>
              <w:t>8.4 What Is Possible: Elements of a Federated Approach</w:t>
            </w:r>
            <w:r w:rsidRPr="00853FE4">
              <w:rPr>
                <w:color w:val="000000" w:themeColor="text1"/>
                <w:sz w:val="22"/>
                <w:szCs w:val="22"/>
              </w:rPr>
              <w:tab/>
              <w:t>90</w:t>
            </w:r>
          </w:hyperlink>
        </w:p>
        <w:p w14:paraId="2AB5B3F7"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k1vx3gnqf0wy">
            <w:r w:rsidRPr="00853FE4">
              <w:rPr>
                <w:color w:val="000000" w:themeColor="text1"/>
                <w:sz w:val="22"/>
                <w:szCs w:val="22"/>
              </w:rPr>
              <w:t>8.5 Boundary of This Paper's Claims</w:t>
            </w:r>
            <w:r w:rsidRPr="00853FE4">
              <w:rPr>
                <w:color w:val="000000" w:themeColor="text1"/>
                <w:sz w:val="22"/>
                <w:szCs w:val="22"/>
              </w:rPr>
              <w:tab/>
              <w:t>93</w:t>
            </w:r>
          </w:hyperlink>
        </w:p>
        <w:p w14:paraId="17C5E279"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b654msc8z1qe">
            <w:r w:rsidRPr="00853FE4">
              <w:rPr>
                <w:color w:val="000000" w:themeColor="text1"/>
                <w:sz w:val="22"/>
                <w:szCs w:val="22"/>
              </w:rPr>
              <w:t>9.0 Conclusion and Future Directions</w:t>
            </w:r>
            <w:r w:rsidRPr="00853FE4">
              <w:rPr>
                <w:color w:val="000000" w:themeColor="text1"/>
                <w:sz w:val="22"/>
                <w:szCs w:val="22"/>
              </w:rPr>
              <w:tab/>
              <w:t>93</w:t>
            </w:r>
          </w:hyperlink>
        </w:p>
        <w:p w14:paraId="1D8E0A56"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g9qzu6kt48a5">
            <w:r w:rsidRPr="00853FE4">
              <w:rPr>
                <w:color w:val="000000" w:themeColor="text1"/>
                <w:sz w:val="22"/>
                <w:szCs w:val="22"/>
              </w:rPr>
              <w:t>9.1 Summary of Contributions</w:t>
            </w:r>
            <w:r w:rsidRPr="00853FE4">
              <w:rPr>
                <w:color w:val="000000" w:themeColor="text1"/>
                <w:sz w:val="22"/>
                <w:szCs w:val="22"/>
              </w:rPr>
              <w:tab/>
              <w:t>94</w:t>
            </w:r>
          </w:hyperlink>
        </w:p>
        <w:p w14:paraId="6D2F3891"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cc497g304svv">
            <w:r w:rsidRPr="00853FE4">
              <w:rPr>
                <w:color w:val="000000" w:themeColor="text1"/>
                <w:sz w:val="22"/>
                <w:szCs w:val="22"/>
              </w:rPr>
              <w:t>9.2 Limitations</w:t>
            </w:r>
            <w:r w:rsidRPr="00853FE4">
              <w:rPr>
                <w:color w:val="000000" w:themeColor="text1"/>
                <w:sz w:val="22"/>
                <w:szCs w:val="22"/>
              </w:rPr>
              <w:tab/>
              <w:t>96</w:t>
            </w:r>
          </w:hyperlink>
        </w:p>
        <w:p w14:paraId="4799FCC6"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5x6c9eso57ec">
            <w:r w:rsidRPr="00853FE4">
              <w:rPr>
                <w:color w:val="000000" w:themeColor="text1"/>
                <w:sz w:val="22"/>
                <w:szCs w:val="22"/>
              </w:rPr>
              <w:t>9.3 Future Directions: AI and Machine Learning Integration</w:t>
            </w:r>
            <w:r w:rsidRPr="00853FE4">
              <w:rPr>
                <w:color w:val="000000" w:themeColor="text1"/>
                <w:sz w:val="22"/>
                <w:szCs w:val="22"/>
              </w:rPr>
              <w:tab/>
              <w:t>98</w:t>
            </w:r>
          </w:hyperlink>
        </w:p>
        <w:p w14:paraId="7983198F" w14:textId="77777777" w:rsidR="007D75A8" w:rsidRPr="00853FE4" w:rsidRDefault="00000000">
          <w:pPr>
            <w:widowControl w:val="0"/>
            <w:tabs>
              <w:tab w:val="right" w:leader="dot" w:pos="12000"/>
            </w:tabs>
            <w:spacing w:before="60" w:line="240" w:lineRule="auto"/>
            <w:ind w:left="360"/>
            <w:rPr>
              <w:color w:val="000000" w:themeColor="text1"/>
              <w:sz w:val="22"/>
              <w:szCs w:val="22"/>
            </w:rPr>
          </w:pPr>
          <w:hyperlink w:anchor="_hpm9a870wz3k">
            <w:r w:rsidRPr="00853FE4">
              <w:rPr>
                <w:color w:val="000000" w:themeColor="text1"/>
                <w:sz w:val="22"/>
                <w:szCs w:val="22"/>
              </w:rPr>
              <w:t>9.4 Future Directions: Public Data Consumption</w:t>
            </w:r>
            <w:r w:rsidRPr="00853FE4">
              <w:rPr>
                <w:color w:val="000000" w:themeColor="text1"/>
                <w:sz w:val="22"/>
                <w:szCs w:val="22"/>
              </w:rPr>
              <w:tab/>
              <w:t>100</w:t>
            </w:r>
          </w:hyperlink>
        </w:p>
        <w:p w14:paraId="357876CA"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d4y9ivlyh1gy">
            <w:r w:rsidRPr="00853FE4">
              <w:rPr>
                <w:color w:val="000000" w:themeColor="text1"/>
                <w:sz w:val="22"/>
                <w:szCs w:val="22"/>
              </w:rPr>
              <w:t>References</w:t>
            </w:r>
            <w:r w:rsidRPr="00853FE4">
              <w:rPr>
                <w:color w:val="000000" w:themeColor="text1"/>
                <w:sz w:val="22"/>
                <w:szCs w:val="22"/>
              </w:rPr>
              <w:tab/>
              <w:t>103</w:t>
            </w:r>
          </w:hyperlink>
        </w:p>
        <w:p w14:paraId="6971F62D" w14:textId="77777777" w:rsidR="007D75A8" w:rsidRPr="00853FE4" w:rsidRDefault="00000000">
          <w:pPr>
            <w:widowControl w:val="0"/>
            <w:tabs>
              <w:tab w:val="right" w:leader="dot" w:pos="12000"/>
            </w:tabs>
            <w:spacing w:before="60" w:line="240" w:lineRule="auto"/>
            <w:rPr>
              <w:color w:val="000000" w:themeColor="text1"/>
              <w:sz w:val="22"/>
              <w:szCs w:val="22"/>
            </w:rPr>
          </w:pPr>
          <w:hyperlink w:anchor="_f9t631sesvks">
            <w:r w:rsidRPr="00853FE4">
              <w:rPr>
                <w:color w:val="000000" w:themeColor="text1"/>
                <w:sz w:val="22"/>
                <w:szCs w:val="22"/>
              </w:rPr>
              <w:t>Diagrams</w:t>
            </w:r>
            <w:r w:rsidRPr="00853FE4">
              <w:rPr>
                <w:color w:val="000000" w:themeColor="text1"/>
                <w:sz w:val="22"/>
                <w:szCs w:val="22"/>
              </w:rPr>
              <w:tab/>
              <w:t>107</w:t>
            </w:r>
          </w:hyperlink>
          <w:r w:rsidRPr="00853FE4">
            <w:rPr>
              <w:color w:val="000000" w:themeColor="text1"/>
            </w:rPr>
            <w:fldChar w:fldCharType="end"/>
          </w:r>
        </w:p>
      </w:sdtContent>
    </w:sdt>
    <w:p w14:paraId="54F391E8" w14:textId="77777777" w:rsidR="007D75A8" w:rsidRPr="00853FE4" w:rsidRDefault="00000000">
      <w:pPr>
        <w:pStyle w:val="Heading1"/>
        <w:rPr>
          <w:color w:val="000000" w:themeColor="text1"/>
        </w:rPr>
      </w:pPr>
      <w:bookmarkStart w:id="3" w:name="_gkzmp2a4nois" w:colFirst="0" w:colLast="0"/>
      <w:bookmarkEnd w:id="3"/>
      <w:r w:rsidRPr="00853FE4">
        <w:rPr>
          <w:color w:val="000000" w:themeColor="text1"/>
        </w:rPr>
        <w:lastRenderedPageBreak/>
        <w:t>1.0 Introduction</w:t>
      </w:r>
    </w:p>
    <w:p w14:paraId="1F3142A8" w14:textId="77777777" w:rsidR="007D75A8" w:rsidRPr="00853FE4" w:rsidRDefault="00000000">
      <w:pPr>
        <w:pStyle w:val="Heading3"/>
        <w:rPr>
          <w:color w:val="000000" w:themeColor="text1"/>
        </w:rPr>
      </w:pPr>
      <w:bookmarkStart w:id="4" w:name="_nmhm2agd5zvq" w:colFirst="0" w:colLast="0"/>
      <w:bookmarkEnd w:id="4"/>
      <w:r w:rsidRPr="00853FE4">
        <w:rPr>
          <w:color w:val="000000" w:themeColor="text1"/>
        </w:rPr>
        <w:t>1.1 Problem Statement</w:t>
      </w:r>
    </w:p>
    <w:p w14:paraId="3FD6E48C" w14:textId="77777777" w:rsidR="007D75A8" w:rsidRPr="00853FE4" w:rsidRDefault="00000000">
      <w:pPr>
        <w:rPr>
          <w:color w:val="000000" w:themeColor="text1"/>
        </w:rPr>
      </w:pPr>
      <w:r w:rsidRPr="00853FE4">
        <w:rPr>
          <w:color w:val="000000" w:themeColor="text1"/>
        </w:rPr>
        <w:t>NOAA Fisheries manages the nation's living marine resources, an industry that supports commercial and recreational fisheries, sustains coastal communities, and produces seafood for domestic and international markets. The agency's regulatory decisions, from annual catch limits to fishery closures, depend on analytical data that must be accurate, accessible, and legally defensible. When data is siloed across regions and programs, when it cannot be efficiently assembled for cross-fishery analyses, when its provenance and quality cannot be assessed with confidence, the agency's ability to make timely, defensible management decisions is directly impaired.</w:t>
      </w:r>
    </w:p>
    <w:p w14:paraId="320AAD92" w14:textId="77777777" w:rsidR="007D75A8" w:rsidRPr="00853FE4" w:rsidRDefault="007D75A8">
      <w:pPr>
        <w:pBdr>
          <w:top w:val="nil"/>
          <w:left w:val="nil"/>
          <w:bottom w:val="nil"/>
          <w:right w:val="nil"/>
          <w:between w:val="nil"/>
        </w:pBdr>
        <w:rPr>
          <w:color w:val="000000" w:themeColor="text1"/>
        </w:rPr>
      </w:pPr>
    </w:p>
    <w:p w14:paraId="5EB1844B" w14:textId="77777777" w:rsidR="007D75A8" w:rsidRPr="00853FE4" w:rsidRDefault="00000000">
      <w:pPr>
        <w:rPr>
          <w:color w:val="000000" w:themeColor="text1"/>
        </w:rPr>
      </w:pPr>
      <w:r w:rsidRPr="00853FE4">
        <w:rPr>
          <w:color w:val="000000" w:themeColor="text1"/>
        </w:rPr>
        <w:t>The data systems that support these decisions were not designed as an enterprise architecture. They accumulated through decades of programmatic and regional autonomy, each new system built to serve a specific program's needs with the technology available at the time, each operating under local governance practices that evolved independently of counterparts in other regions. The result is a fragmented landscape in which data is abundant but difficult to discover, assess, and integrate across organizational boundaries. This fragmentation is not a failure of any individual program, each system serves its immediate purpose. It is, rather, a structural consequence of an organizational model in which data ownership, infrastructure management, and governance are distributed without a shared platform that makes cross-domain data sharing the path of least resistance.</w:t>
      </w:r>
    </w:p>
    <w:p w14:paraId="5B2D0B4F" w14:textId="77777777" w:rsidR="007D75A8" w:rsidRPr="00853FE4" w:rsidRDefault="007D75A8">
      <w:pPr>
        <w:pBdr>
          <w:top w:val="nil"/>
          <w:left w:val="nil"/>
          <w:bottom w:val="nil"/>
          <w:right w:val="nil"/>
          <w:between w:val="nil"/>
        </w:pBdr>
        <w:rPr>
          <w:color w:val="000000" w:themeColor="text1"/>
        </w:rPr>
      </w:pPr>
    </w:p>
    <w:p w14:paraId="6A17BC46" w14:textId="77777777" w:rsidR="007D75A8" w:rsidRPr="00853FE4" w:rsidRDefault="00000000">
      <w:pPr>
        <w:rPr>
          <w:color w:val="000000" w:themeColor="text1"/>
        </w:rPr>
      </w:pPr>
      <w:r w:rsidRPr="00853FE4">
        <w:rPr>
          <w:color w:val="000000" w:themeColor="text1"/>
        </w:rPr>
        <w:t>This paper proposes a Data Mesh Reference Architecture for NOAA Fisheries as a response to this structural condition. Data mesh is not presented as a panacea; it is an architectural paradigm that reorganizes data ownership, infrastructure, and governance around the principle that the people closest to data, domain scientists, program staff, regional managers, should be accountable for its quality and accessibility, supported by a self-serve platform that automates compliance with enterprise standards. The reference architecture provides a concrete, implementable blueprint grounded in the four data mesh principles, instantiated with specific Google Cloud Platform services, and aligned with the regulatory mandates, the Magnuson-Stevens Act, NIST security frameworks, federal data governance requirements, that constrain and inform any federal data architecture. The paper also addresses the organizational dimensions of adoption, the tradeoffs and risks inherent in this approach, and the limits of the mesh pattern when applied at the scale of the broader NOAA enterprise.</w:t>
      </w:r>
    </w:p>
    <w:p w14:paraId="2B9EBCD2" w14:textId="77777777" w:rsidR="007D75A8" w:rsidRPr="00853FE4" w:rsidRDefault="00000000">
      <w:pPr>
        <w:pStyle w:val="Heading3"/>
        <w:rPr>
          <w:color w:val="000000" w:themeColor="text1"/>
        </w:rPr>
      </w:pPr>
      <w:bookmarkStart w:id="5" w:name="_moc5ruxuil6b" w:colFirst="0" w:colLast="0"/>
      <w:bookmarkEnd w:id="5"/>
      <w:r w:rsidRPr="00853FE4">
        <w:rPr>
          <w:color w:val="000000" w:themeColor="text1"/>
        </w:rPr>
        <w:lastRenderedPageBreak/>
        <w:t>1.2 Research Questions</w:t>
      </w:r>
    </w:p>
    <w:p w14:paraId="03BE93A4" w14:textId="77777777" w:rsidR="007D75A8" w:rsidRPr="00853FE4" w:rsidRDefault="00000000">
      <w:pPr>
        <w:rPr>
          <w:color w:val="000000" w:themeColor="text1"/>
        </w:rPr>
      </w:pPr>
      <w:r w:rsidRPr="00853FE4">
        <w:rPr>
          <w:color w:val="000000" w:themeColor="text1"/>
        </w:rPr>
        <w:t>This paper addresses five research questions:</w:t>
      </w:r>
    </w:p>
    <w:p w14:paraId="4132BBC4" w14:textId="77777777" w:rsidR="007D75A8" w:rsidRPr="00853FE4" w:rsidRDefault="007D75A8">
      <w:pPr>
        <w:pBdr>
          <w:top w:val="nil"/>
          <w:left w:val="nil"/>
          <w:bottom w:val="nil"/>
          <w:right w:val="nil"/>
          <w:between w:val="nil"/>
        </w:pBdr>
        <w:rPr>
          <w:color w:val="000000" w:themeColor="text1"/>
        </w:rPr>
      </w:pPr>
    </w:p>
    <w:p w14:paraId="525A2917" w14:textId="77777777" w:rsidR="007D75A8" w:rsidRPr="00853FE4" w:rsidRDefault="00000000">
      <w:pPr>
        <w:rPr>
          <w:color w:val="000000" w:themeColor="text1"/>
        </w:rPr>
      </w:pPr>
      <w:r w:rsidRPr="00853FE4">
        <w:rPr>
          <w:b/>
          <w:bCs/>
          <w:color w:val="000000" w:themeColor="text1"/>
        </w:rPr>
        <w:t>RQ1</w:t>
      </w:r>
      <w:r w:rsidRPr="00853FE4">
        <w:rPr>
          <w:color w:val="000000" w:themeColor="text1"/>
        </w:rPr>
        <w:t>: What constitutes an appropriate data mesh reference architecture for the NOAA Fisheries context? The reference architecture must account for the agency's organizational structure, regulatory mandates under the Magnuson-Stevens Act, NIST security and privacy frameworks, and the specific characteristics of fisheries data, its distributed production, its cross-domain consumption, and its role as the evidentiary foundation for legally binding management decisions.</w:t>
      </w:r>
    </w:p>
    <w:p w14:paraId="67E73DDB" w14:textId="77777777" w:rsidR="007D75A8" w:rsidRPr="00853FE4" w:rsidRDefault="007D75A8">
      <w:pPr>
        <w:pBdr>
          <w:top w:val="nil"/>
          <w:left w:val="nil"/>
          <w:bottom w:val="nil"/>
          <w:right w:val="nil"/>
          <w:between w:val="nil"/>
        </w:pBdr>
        <w:rPr>
          <w:color w:val="000000" w:themeColor="text1"/>
        </w:rPr>
      </w:pPr>
    </w:p>
    <w:p w14:paraId="2D3CE6FB" w14:textId="77777777" w:rsidR="007D75A8" w:rsidRPr="00853FE4" w:rsidRDefault="00000000">
      <w:pPr>
        <w:rPr>
          <w:color w:val="000000" w:themeColor="text1"/>
        </w:rPr>
      </w:pPr>
      <w:r w:rsidRPr="00853FE4">
        <w:rPr>
          <w:b/>
          <w:bCs/>
          <w:color w:val="000000" w:themeColor="text1"/>
        </w:rPr>
        <w:t>RQ2</w:t>
      </w:r>
      <w:r w:rsidRPr="00853FE4">
        <w:rPr>
          <w:color w:val="000000" w:themeColor="text1"/>
        </w:rPr>
        <w:t>: How can the four data mesh principles be instantiated using specific GCP services and configurations? The architecture must provide sufficient specificity that an engineering team could derive actionable implementation guidance, including resource hierarchy design, networking topology, IAM role definitions, service account architecture, and data product lifecycle management.</w:t>
      </w:r>
    </w:p>
    <w:p w14:paraId="1475FEA8" w14:textId="77777777" w:rsidR="007D75A8" w:rsidRPr="00853FE4" w:rsidRDefault="007D75A8">
      <w:pPr>
        <w:pBdr>
          <w:top w:val="nil"/>
          <w:left w:val="nil"/>
          <w:bottom w:val="nil"/>
          <w:right w:val="nil"/>
          <w:between w:val="nil"/>
        </w:pBdr>
        <w:rPr>
          <w:color w:val="000000" w:themeColor="text1"/>
        </w:rPr>
      </w:pPr>
    </w:p>
    <w:p w14:paraId="0DB733D9" w14:textId="77777777" w:rsidR="007D75A8" w:rsidRPr="00853FE4" w:rsidRDefault="00000000">
      <w:pPr>
        <w:rPr>
          <w:color w:val="000000" w:themeColor="text1"/>
        </w:rPr>
      </w:pPr>
      <w:r w:rsidRPr="00853FE4">
        <w:rPr>
          <w:b/>
          <w:bCs/>
          <w:color w:val="000000" w:themeColor="text1"/>
        </w:rPr>
        <w:t>RQ3</w:t>
      </w:r>
      <w:r w:rsidRPr="00853FE4">
        <w:rPr>
          <w:color w:val="000000" w:themeColor="text1"/>
        </w:rPr>
        <w:t>: How can federal regulatory and security requirements be encoded as computational governance policies within a data mesh framework? The architecture must demonstrate that compliance with the Magnuson-Stevens Act's confidentiality provisions (sec.402(b) and sec.403(c)), NIST SP 800-53 security controls, Evidence Act data management mandates, and OPEN Government Data Act public access requirements can be automated through platform-enforced policies rather than manual, system-by-system compliance processes. The objective is to shift the administrative burden of compliance from individual system owners to the platform itself.</w:t>
      </w:r>
    </w:p>
    <w:p w14:paraId="484CC3E1" w14:textId="77777777" w:rsidR="007D75A8" w:rsidRPr="00853FE4" w:rsidRDefault="007D75A8">
      <w:pPr>
        <w:pBdr>
          <w:top w:val="nil"/>
          <w:left w:val="nil"/>
          <w:bottom w:val="nil"/>
          <w:right w:val="nil"/>
          <w:between w:val="nil"/>
        </w:pBdr>
        <w:rPr>
          <w:color w:val="000000" w:themeColor="text1"/>
        </w:rPr>
      </w:pPr>
    </w:p>
    <w:p w14:paraId="4403637B" w14:textId="77777777" w:rsidR="007D75A8" w:rsidRPr="00853FE4" w:rsidRDefault="00000000">
      <w:pPr>
        <w:rPr>
          <w:color w:val="000000" w:themeColor="text1"/>
        </w:rPr>
      </w:pPr>
      <w:r w:rsidRPr="00853FE4">
        <w:rPr>
          <w:b/>
          <w:bCs/>
          <w:color w:val="000000" w:themeColor="text1"/>
        </w:rPr>
        <w:t>RQ4</w:t>
      </w:r>
      <w:r w:rsidRPr="00853FE4">
        <w:rPr>
          <w:color w:val="000000" w:themeColor="text1"/>
        </w:rPr>
        <w:t>: What is a viable migration path from the current fragmented state toward a data mesh architecture? The migration strategy must minimize operational risk, maintain continuity of existing mission-critical systems, and employ proven software engineering patterns, including the strangler fig, anti-corruption layer, and parallel run, to enable gradual, evolutionary transition rather than disruptive, big-bang replacement.</w:t>
      </w:r>
    </w:p>
    <w:p w14:paraId="510C503B" w14:textId="77777777" w:rsidR="007D75A8" w:rsidRPr="00853FE4" w:rsidRDefault="007D75A8">
      <w:pPr>
        <w:pBdr>
          <w:top w:val="nil"/>
          <w:left w:val="nil"/>
          <w:bottom w:val="nil"/>
          <w:right w:val="nil"/>
          <w:between w:val="nil"/>
        </w:pBdr>
        <w:rPr>
          <w:color w:val="000000" w:themeColor="text1"/>
        </w:rPr>
      </w:pPr>
    </w:p>
    <w:p w14:paraId="606ECC83" w14:textId="77777777" w:rsidR="007D75A8" w:rsidRPr="00853FE4" w:rsidRDefault="00000000">
      <w:pPr>
        <w:rPr>
          <w:color w:val="000000" w:themeColor="text1"/>
        </w:rPr>
      </w:pPr>
      <w:r w:rsidRPr="00853FE4">
        <w:rPr>
          <w:b/>
          <w:bCs/>
          <w:color w:val="000000" w:themeColor="text1"/>
        </w:rPr>
        <w:t>RQ5</w:t>
      </w:r>
      <w:r w:rsidRPr="00853FE4">
        <w:rPr>
          <w:color w:val="000000" w:themeColor="text1"/>
        </w:rPr>
        <w:t>: What organizational and operational capabilities are necessary to sustain a data mesh beyond initial migration? The sustainability of a data mesh depends not only on the technical architecture but on the organizational structures, governance processes, skill development programs, and change management practices that enable it to evolve as the agency's mission, technology, and regulatory environment change. This question addresses the human and organizational dimensions of long-term mesh operation.</w:t>
      </w:r>
    </w:p>
    <w:p w14:paraId="15A898B5" w14:textId="77777777" w:rsidR="007D75A8" w:rsidRPr="00853FE4" w:rsidRDefault="00000000">
      <w:pPr>
        <w:pStyle w:val="Heading3"/>
        <w:rPr>
          <w:color w:val="000000" w:themeColor="text1"/>
        </w:rPr>
      </w:pPr>
      <w:bookmarkStart w:id="6" w:name="_vi97qun1zdw" w:colFirst="0" w:colLast="0"/>
      <w:bookmarkEnd w:id="6"/>
      <w:r w:rsidRPr="00853FE4">
        <w:rPr>
          <w:color w:val="000000" w:themeColor="text1"/>
        </w:rPr>
        <w:lastRenderedPageBreak/>
        <w:t>1.3 Scope and Methodology</w:t>
      </w:r>
    </w:p>
    <w:p w14:paraId="7FF7066E" w14:textId="77777777" w:rsidR="007D75A8" w:rsidRPr="00853FE4" w:rsidRDefault="00000000">
      <w:pPr>
        <w:rPr>
          <w:color w:val="000000" w:themeColor="text1"/>
        </w:rPr>
      </w:pPr>
      <w:r w:rsidRPr="00853FE4">
        <w:rPr>
          <w:color w:val="000000" w:themeColor="text1"/>
        </w:rPr>
        <w:t>The scope of this paper is NOAA Fisheries. The proposed architecture addresses the agency's organizational structure, eight Regional Fishery Management Councils, six regional offices, six science centers, and their associated program offices, and the statutory framework established by the Magnuson-Stevens Act, NIST SP 800-37 and SP 800-53, the Evidence Act, and related authorities. NOAA-wide implications are discussed in Section 8 not as a proposed enterprise architecture but as an assessment of where the data mesh pattern meets its limits when applied across organizational, cloud, and statutory boundaries at the scale of the full NOAA enterprise.</w:t>
      </w:r>
    </w:p>
    <w:p w14:paraId="42BEB062" w14:textId="77777777" w:rsidR="007D75A8" w:rsidRPr="00853FE4" w:rsidRDefault="007D75A8">
      <w:pPr>
        <w:pBdr>
          <w:top w:val="nil"/>
          <w:left w:val="nil"/>
          <w:bottom w:val="nil"/>
          <w:right w:val="nil"/>
          <w:between w:val="nil"/>
        </w:pBdr>
        <w:rPr>
          <w:color w:val="000000" w:themeColor="text1"/>
        </w:rPr>
      </w:pPr>
    </w:p>
    <w:p w14:paraId="28817433" w14:textId="77777777" w:rsidR="007D75A8" w:rsidRPr="00853FE4" w:rsidRDefault="00000000">
      <w:pPr>
        <w:rPr>
          <w:color w:val="000000" w:themeColor="text1"/>
        </w:rPr>
      </w:pPr>
      <w:r w:rsidRPr="00853FE4">
        <w:rPr>
          <w:color w:val="000000" w:themeColor="text1"/>
        </w:rPr>
        <w:t>The methodology employed is design science research, specifically the development of a reference architecture informed by established theory and practice. The architecture is derived from four group sources: (a) the data mesh literature, including foundational works by Dehghani (2019, 2020, 2022) on principles and Perrin and Broda (2024) on implementation patterns, informed by the systematic review conducted by Goedegebuure et al. (2023); (b) recognized software engineering patterns, including domain-driven design (Evans, 2003; Steinegger et al., 2017), Conway's Law (Conway, 1968), Parnas decomposition criteria (Parnas, 1971), and legacy displacement patterns (Cartwright et al., 2024); (c) domain analysis of NOAA Fisheries' organizational structure, statutory mandates, and data landscape as documented in MSA, NIST publications, and fisheries management reference sources (Wallace &amp; Fletcher, 2000); and (d) Google Cloud Platform service capabilities as the underlying platform infrastructure. Architecture decisions are explicitly traced to their documented foundations so that their rationale is transparent and accessible.</w:t>
      </w:r>
    </w:p>
    <w:p w14:paraId="09537EC7" w14:textId="77777777" w:rsidR="007D75A8" w:rsidRPr="00853FE4" w:rsidRDefault="00000000">
      <w:pPr>
        <w:pStyle w:val="Heading3"/>
        <w:rPr>
          <w:color w:val="000000" w:themeColor="text1"/>
        </w:rPr>
      </w:pPr>
      <w:bookmarkStart w:id="7" w:name="_kds39ww9brwk" w:colFirst="0" w:colLast="0"/>
      <w:bookmarkEnd w:id="7"/>
      <w:r w:rsidRPr="00853FE4">
        <w:rPr>
          <w:color w:val="000000" w:themeColor="text1"/>
        </w:rPr>
        <w:t>1.4 Case Study: Electronic Monitoring</w:t>
      </w:r>
    </w:p>
    <w:p w14:paraId="63335F40" w14:textId="77777777" w:rsidR="007D75A8" w:rsidRPr="00853FE4" w:rsidRDefault="00000000">
      <w:pPr>
        <w:rPr>
          <w:color w:val="000000" w:themeColor="text1"/>
        </w:rPr>
      </w:pPr>
      <w:r w:rsidRPr="00853FE4">
        <w:rPr>
          <w:color w:val="000000" w:themeColor="text1"/>
        </w:rPr>
        <w:t>Reference architectures are inherently abstract. They describe organizational structures, platform capabilities, and governance mechanisms at a level of generality that enables application across contexts but can obscure how those abstractions translate to concrete implementation decisions. A case study addresses this limitation by grounding architectural principles in a specific, verifiable example that demonstrates how each principle translates to actionable specifications, configurations, and governance rules. This pattern is well established in data mesh practice: Perrin and Broda (2024) use a "Customer 360" data product as a running illustrative example through their implementation guide, demonstrating data product specification, data contracts, platform architecture, and governance operating models through a single, coherent use case.</w:t>
      </w:r>
    </w:p>
    <w:p w14:paraId="44D9F49D" w14:textId="77777777" w:rsidR="007D75A8" w:rsidRPr="00853FE4" w:rsidRDefault="007D75A8">
      <w:pPr>
        <w:pBdr>
          <w:top w:val="nil"/>
          <w:left w:val="nil"/>
          <w:bottom w:val="nil"/>
          <w:right w:val="nil"/>
          <w:between w:val="nil"/>
        </w:pBdr>
        <w:rPr>
          <w:color w:val="000000" w:themeColor="text1"/>
        </w:rPr>
      </w:pPr>
    </w:p>
    <w:p w14:paraId="788A071E" w14:textId="77777777" w:rsidR="007D75A8" w:rsidRPr="00853FE4" w:rsidRDefault="00000000">
      <w:pPr>
        <w:rPr>
          <w:color w:val="000000" w:themeColor="text1"/>
        </w:rPr>
      </w:pPr>
      <w:r w:rsidRPr="00853FE4">
        <w:rPr>
          <w:color w:val="000000" w:themeColor="text1"/>
        </w:rPr>
        <w:t xml:space="preserve">This paper adopts the same approach, using the Commercial Fishing Electronic Monitoring (EM) data product as its running illustrative case study through Section 5. The EM data product was </w:t>
      </w:r>
      <w:r w:rsidRPr="00853FE4">
        <w:rPr>
          <w:color w:val="000000" w:themeColor="text1"/>
        </w:rPr>
        <w:lastRenderedPageBreak/>
        <w:t>selected because it exhibits characteristics that generalize to many NOAA Fisheries data products while also representing the full complexity of the agency's regulatory environment. EM systems collect video footage, sensor data, and other information from fishing vessels to independently document catch composition, discards, and protected species interactions. The resulting data product has multiple producers (EM service providers) and multiple consumers (stock assessment scientists for abundance estimation, protected species biologists for compliance monitoring, enforcement personnel for investigation support). It is subject to strict confidentiality protections under MSA sec.402(b) and sec.403(c), requiring fine-grained access controls that differentiate between what different consumer roles can access from the same underlying dataset. It spans diverse data modalities (video, sensor readings, structured species identification records) and has explicit quality and timeliness expectations (species identification accuracy thresholds, data freshness requirements aligned with Council meeting cycles). The EM data product lifecycle is formally defined across three stages, each governed by a distinct federal retention authority. The first stage, the fishing year and monitoring period (Alger, 2020), encompasses data creation, submission, and fishery management use. EM systems capture raw video, sensor data, and metadata during fishing operations; service providers perform initial review and processing; and NOAA Fisheries completes catch reconciliation and quota monitoring. The duration of this stage is variable and program-specific, reflecting differences in fishing year start dates and the time required to reconcile fishery-dependent data across multiple data sources. The second stage, a 12-month minimum retention period (Alger, 2020), begins when monitoring is complete and ensures that EM data remain available for program compliance, service provider performance review, and vessel accountability. Finally, under the NARA records schedule for EM pre-processed files (National Archives and Records Administration [NARA], 2020), data received by NOAA Fisheries are retained for five years after processing to satisfy the enforcement statute of limitations, after which they are destroyed. The NARA appraisal explicitly classifies these pre-processed files as temporary intermediary records, as the summarized data they generate is permanently preserved in Observer Program databases under separate schedule authority. The three stages map directly onto the data mesh data product lifecycle: creation, ingestion, and validation during the monitoring period; publication, discovery, and active consumption during the 12-month retention window; and archival retention and deprecation under NARA disposition authority.</w:t>
      </w:r>
    </w:p>
    <w:p w14:paraId="6240132A" w14:textId="77777777" w:rsidR="007D75A8" w:rsidRPr="00853FE4" w:rsidRDefault="007D75A8">
      <w:pPr>
        <w:pBdr>
          <w:top w:val="nil"/>
          <w:left w:val="nil"/>
          <w:bottom w:val="nil"/>
          <w:right w:val="nil"/>
          <w:between w:val="nil"/>
        </w:pBdr>
        <w:rPr>
          <w:color w:val="000000" w:themeColor="text1"/>
        </w:rPr>
      </w:pPr>
    </w:p>
    <w:p w14:paraId="4F2C2978" w14:textId="77777777" w:rsidR="007D75A8" w:rsidRPr="00853FE4" w:rsidRDefault="00000000">
      <w:pPr>
        <w:rPr>
          <w:color w:val="000000" w:themeColor="text1"/>
        </w:rPr>
      </w:pPr>
      <w:r w:rsidRPr="00853FE4">
        <w:rPr>
          <w:color w:val="000000" w:themeColor="text1"/>
        </w:rPr>
        <w:t xml:space="preserve">Throughout the reference architecture presented in Section 5, the EM data product will be used to demonstrate how each principle translates to concrete decisions, including domain ownership (which team is accountable for EM data product quality and lifecycle), data product specification (what schemas, metadata, and data contracts govern the EM data product), platform configuration (how GCP services automate the creation, publication, and monitoring of EM data </w:t>
      </w:r>
      <w:r w:rsidRPr="00853FE4">
        <w:rPr>
          <w:color w:val="000000" w:themeColor="text1"/>
        </w:rPr>
        <w:lastRenderedPageBreak/>
        <w:t>products), and governance enforcement (how MSA confidentiality requirements and NIST 800-53 controls are computationally enforced for EM data access).</w:t>
      </w:r>
    </w:p>
    <w:p w14:paraId="6C3FBA0E" w14:textId="77777777" w:rsidR="007D75A8" w:rsidRPr="00853FE4" w:rsidRDefault="00000000">
      <w:pPr>
        <w:pStyle w:val="Heading3"/>
        <w:rPr>
          <w:color w:val="000000" w:themeColor="text1"/>
        </w:rPr>
      </w:pPr>
      <w:bookmarkStart w:id="8" w:name="_b29jycrm8p6g" w:colFirst="0" w:colLast="0"/>
      <w:bookmarkEnd w:id="8"/>
      <w:r w:rsidRPr="00853FE4">
        <w:rPr>
          <w:color w:val="000000" w:themeColor="text1"/>
        </w:rPr>
        <w:t>1.5 Paper Organization</w:t>
      </w:r>
    </w:p>
    <w:p w14:paraId="63D1A6A4" w14:textId="77777777" w:rsidR="007D75A8" w:rsidRPr="00853FE4" w:rsidRDefault="00000000">
      <w:pPr>
        <w:rPr>
          <w:color w:val="000000" w:themeColor="text1"/>
        </w:rPr>
      </w:pPr>
      <w:r w:rsidRPr="00853FE4">
        <w:rPr>
          <w:color w:val="000000" w:themeColor="text1"/>
        </w:rPr>
        <w:t>The remainder of this paper is organized as follows. Section 2 examines the NOAA Fisheries data ecosystem, including the agency's mission and data landscape, the architectural fragmentation that characterizes the current state, and the legal and regulatory mandates that constrain and inform any proposed architecture. Section 3 traces the evolution of analytical data architectures from the data warehouse through the data lake to the data mesh, establishing Conway's Law and domain-driven design as the intellectual foundations for domain-oriented decomposition. Section 4 examines the four data mesh principles in detail, establishing their intellectual foundations, operational implications, and relevance to the NOAA Fisheries context. Section 5 presents the reference architecture, the core contribution of this paper, organized around the four mesh principles as integrated architectural dimensions, with the Electronic Monitoring data product as a running illustrative example. Section 6 describes a pattern-based migration and adoption strategy grounded in three proven software engineering patterns and addresses the organizational change management and capability building necessary for sustainable adoption. Section 7 assesses the tradeoffs, risks, and limitations inherent in the proposed approach. Section 8 discusses the limits of the data mesh pattern when scaled to the full NOAA enterprise, distinguishing between architected multi-cloud and cloud sprawl. Section 9 concludes with a summary of contributions, a discussion of limitations, and directions for future work.</w:t>
      </w:r>
    </w:p>
    <w:p w14:paraId="7CF2CFA5" w14:textId="77777777" w:rsidR="007D75A8" w:rsidRPr="00853FE4" w:rsidRDefault="00000000">
      <w:pPr>
        <w:pStyle w:val="Heading1"/>
        <w:rPr>
          <w:color w:val="000000" w:themeColor="text1"/>
        </w:rPr>
      </w:pPr>
      <w:bookmarkStart w:id="9" w:name="_nhqghxdtiyot" w:colFirst="0" w:colLast="0"/>
      <w:bookmarkEnd w:id="9"/>
      <w:r w:rsidRPr="00853FE4">
        <w:rPr>
          <w:color w:val="000000" w:themeColor="text1"/>
        </w:rPr>
        <w:t>2.0 The Fishery Data Ecosystem: Challenges and Regulatory Context</w:t>
      </w:r>
    </w:p>
    <w:p w14:paraId="0A14E6A1" w14:textId="77777777" w:rsidR="007D75A8" w:rsidRPr="00853FE4" w:rsidRDefault="00000000">
      <w:pPr>
        <w:rPr>
          <w:color w:val="000000" w:themeColor="text1"/>
        </w:rPr>
      </w:pPr>
      <w:r w:rsidRPr="00853FE4">
        <w:rPr>
          <w:color w:val="000000" w:themeColor="text1"/>
        </w:rPr>
        <w:t xml:space="preserve">Understanding the data management challenges that a data mesh reference architecture for NOAA Fisheries must address requires first examining the data ecosystem as it exists: the mission responsibilities that generate data, the organizational structure that distributes data production and consumption, the architectural fragmentation that impedes cross-domain data sharing, and the legal and regulatory mandates that impose binding requirements on data quality, confidentiality, security, and public access. This section provides that examination. It establishes that NOAA Fisheries' current data architecture was not designed as an enterprise system but accumulated through decades of programmatic and regional autonomy, producing a landscape in which data is abundant but difficult to discover, assess, and integrate across organizational boundaries. It further establishes that the regulatory framework under which NOAA Fisheries operates, the Magnuson-Stevens Act, NIST security and privacy controls, federal data governance mandates, and Executive Order directives, does not merely constrain the architecture </w:t>
      </w:r>
      <w:r w:rsidRPr="00853FE4">
        <w:rPr>
          <w:color w:val="000000" w:themeColor="text1"/>
        </w:rPr>
        <w:lastRenderedPageBreak/>
        <w:t>but should inform its design as first-order requirements. The problem context developed in this section is the foundation for the reference architecture proposed in Section 5.</w:t>
      </w:r>
    </w:p>
    <w:p w14:paraId="5EE0615D" w14:textId="77777777" w:rsidR="007D75A8" w:rsidRPr="00853FE4" w:rsidRDefault="00000000">
      <w:pPr>
        <w:pStyle w:val="Heading3"/>
        <w:rPr>
          <w:color w:val="000000" w:themeColor="text1"/>
        </w:rPr>
      </w:pPr>
      <w:bookmarkStart w:id="10" w:name="_liaqhm7a475c" w:colFirst="0" w:colLast="0"/>
      <w:bookmarkEnd w:id="10"/>
      <w:r w:rsidRPr="00853FE4">
        <w:rPr>
          <w:color w:val="000000" w:themeColor="text1"/>
        </w:rPr>
        <w:t>2.1 The NOAA Fisheries Mission and Data Landscape</w:t>
      </w:r>
    </w:p>
    <w:p w14:paraId="6104136F" w14:textId="77777777" w:rsidR="007D75A8" w:rsidRPr="00853FE4" w:rsidRDefault="00000000">
      <w:pPr>
        <w:rPr>
          <w:color w:val="000000" w:themeColor="text1"/>
        </w:rPr>
      </w:pPr>
      <w:r w:rsidRPr="00853FE4">
        <w:rPr>
          <w:color w:val="000000" w:themeColor="text1"/>
        </w:rPr>
        <w:t>The National Marine Fisheries Service (NOAA Fisheries) is the federal agency responsible for the stewardship of the nation's living marine resources and their habitats. Operating within the National Oceanic and Atmospheric Administration under the authority of the Magnuson-Stevens Fishery Conservation and Management Act (MSA) and other federal statutes, the agency's mission encompasses three interconnected objectives: sustainable fisheries management, protected species conservation, and habitat protection (Wallace &amp; Fletcher, 2000). These objectives are pursued simultaneously across a decentralized organizational structure that includes eight Regional Fishery Management Councils, six regional offices, and six science centers, each with distinct geographical jurisdictions, species portfolios, and operational responsibilities (Magnuson-Stevens Act, 2007). The resulting data landscape is not a single, centrally governed enterprise but a complex federation of programmatic data producers and consumers whose information needs are shaped by statutory mandates, scientific methodologies, regulatory processes, and regional ecological and economic contexts.</w:t>
      </w:r>
    </w:p>
    <w:p w14:paraId="746A83AE" w14:textId="77777777" w:rsidR="007D75A8" w:rsidRPr="00853FE4" w:rsidRDefault="007D75A8">
      <w:pPr>
        <w:pBdr>
          <w:top w:val="nil"/>
          <w:left w:val="nil"/>
          <w:bottom w:val="nil"/>
          <w:right w:val="nil"/>
          <w:between w:val="nil"/>
        </w:pBdr>
        <w:rPr>
          <w:color w:val="000000" w:themeColor="text1"/>
        </w:rPr>
      </w:pPr>
    </w:p>
    <w:p w14:paraId="354A9BCE" w14:textId="77777777" w:rsidR="007D75A8" w:rsidRPr="00853FE4" w:rsidRDefault="00000000">
      <w:pPr>
        <w:rPr>
          <w:color w:val="000000" w:themeColor="text1"/>
        </w:rPr>
      </w:pPr>
      <w:r w:rsidRPr="00853FE4">
        <w:rPr>
          <w:color w:val="000000" w:themeColor="text1"/>
        </w:rPr>
        <w:t xml:space="preserve">The data ecosystem that supports NOAA Fisheries' mission can be understood through the lens of how data is collected, by whom, and for what management purposes. Fishery-dependent data is collected directly from commercial and recreational fishing operations: vessel monitoring systems (VMS) and automatic identification systems (AIS) transmit real-time position data that supports enforcement and effort monitoring, while dealer reports and logbooks provide catch and disposition data that feeds quota accounting and stock assessment. At-sea observer programs and electronic monitoring (EM) systems generate independent, trip-level data on catch composition, discards, protected species interactions, and gear characteristics, data that is consumed by stock assessment scientists for abundance estimation, by protected species biologists for compliance monitoring, and by enforcement personnel for investigation support. Fishery-independent data is collected through NOAA research vessel surveys and cooperative agreements with academic and state partners, producing time series on species abundance, age structure, recruitment, and environmental covariates that serve as the primary input to stock assessment models and the scientific advice provided to Councils through their Scientific and Statistical Committees. Protected species monitoring, habitat assessment, aquaculture permitting, enforcement, and socioeconomic research each generate data consumed by distinct management processes: Endangered Species Act consultations, Essential Fish Habitat designations, regulatory impact analyses, and quota allocation decisions. Across all of these programs, the fundamental dynamic is the same: data is produced by one organizational unit and consumed by others, often multiple </w:t>
      </w:r>
      <w:r w:rsidRPr="00853FE4">
        <w:rPr>
          <w:color w:val="000000" w:themeColor="text1"/>
        </w:rPr>
        <w:lastRenderedPageBreak/>
        <w:t>others, each with different quality requirements, access needs, and analytical purposes. The gap between how data is collected, in a distributed, program-specific fashion, and how it is consumed, for cross-cutting, multi-domain management decisions, is a central tension that the architecture proposed in this paper is designed to resolve.</w:t>
      </w:r>
    </w:p>
    <w:p w14:paraId="00176F8A" w14:textId="77777777" w:rsidR="00F04FBA" w:rsidRPr="00853FE4" w:rsidRDefault="00F04FBA">
      <w:pPr>
        <w:rPr>
          <w:color w:val="000000" w:themeColor="text1"/>
        </w:rPr>
      </w:pPr>
    </w:p>
    <w:p w14:paraId="0A47EF67" w14:textId="5351B19B" w:rsidR="007D75A8" w:rsidRPr="00853FE4" w:rsidRDefault="00000000">
      <w:pPr>
        <w:rPr>
          <w:color w:val="000000" w:themeColor="text1"/>
        </w:rPr>
      </w:pPr>
      <w:r w:rsidRPr="00853FE4">
        <w:rPr>
          <w:color w:val="000000" w:themeColor="text1"/>
        </w:rPr>
        <w:t>These data assets are not merely administrative records. They are the evidentiary foundation for regulatory decisions with binding legal effect. Fishery Management Plans (FMPs) developed by the Regional Councils must conform to Ten National Standards, including the requirement that conservation and management measures be "based on the best scientific information available" (MSA, sec.301(a)(2)). Stock assessments that determine whether a stock is overfished or subject to overfishing must be peer-reviewed and defensible under administrative and judicial scrutiny. Quota allocations, area closures, and gear restrictions directly affect the livelihoods of fishing communities and are contested through formal administrative processes and litigation. Data quality, provenance, and accessibility are not abstract concerns but operational imperatives with measurable economic and social consequences.</w:t>
      </w:r>
    </w:p>
    <w:p w14:paraId="04B7F36D" w14:textId="77777777" w:rsidR="007D75A8" w:rsidRPr="00853FE4" w:rsidRDefault="007D75A8">
      <w:pPr>
        <w:pBdr>
          <w:top w:val="nil"/>
          <w:left w:val="nil"/>
          <w:bottom w:val="nil"/>
          <w:right w:val="nil"/>
          <w:between w:val="nil"/>
        </w:pBdr>
        <w:rPr>
          <w:color w:val="000000" w:themeColor="text1"/>
        </w:rPr>
      </w:pPr>
    </w:p>
    <w:p w14:paraId="20024822" w14:textId="77777777" w:rsidR="007D75A8" w:rsidRPr="00853FE4" w:rsidRDefault="00000000">
      <w:pPr>
        <w:rPr>
          <w:color w:val="000000" w:themeColor="text1"/>
        </w:rPr>
      </w:pPr>
      <w:r w:rsidRPr="00853FE4">
        <w:rPr>
          <w:color w:val="000000" w:themeColor="text1"/>
        </w:rPr>
        <w:t>The organizational structure that produces and consumes this data is distributed by design. The eight Regional Fishery Management Councils, established under MSA sec.302, are the primary decision-making bodies for fisheries in federal waters, each with its own Scientific and Statistical Committee (SSC), advisory panels, and stakeholder engagement processes. The six regional offices implement council decisions, administer permits, and coordinate with state agencies. The six science centers conduct stock assessments, manage survey programs, and provide scientific advice to the councils. This distribution reflects the ecological and economic diversity of U.S. fisheries: the species, gear types, management challenges, and stakeholder dynamics of the North Pacific groundfish fishery differ fundamentally from those of the Gulf of Mexico shrimp fishery or the New England multispecies fishery. Regional autonomy is not an organizational preference but a principled accommodation of this diversity, and it has produced a wealth of localized expertise and adaptive management capacity.</w:t>
      </w:r>
    </w:p>
    <w:p w14:paraId="12960849" w14:textId="77777777" w:rsidR="007D75A8" w:rsidRPr="00853FE4" w:rsidRDefault="007D75A8">
      <w:pPr>
        <w:pBdr>
          <w:top w:val="nil"/>
          <w:left w:val="nil"/>
          <w:bottom w:val="nil"/>
          <w:right w:val="nil"/>
          <w:between w:val="nil"/>
        </w:pBdr>
        <w:rPr>
          <w:color w:val="000000" w:themeColor="text1"/>
        </w:rPr>
      </w:pPr>
    </w:p>
    <w:p w14:paraId="20C89A62" w14:textId="77777777" w:rsidR="007D75A8" w:rsidRPr="00853FE4" w:rsidRDefault="00000000">
      <w:pPr>
        <w:rPr>
          <w:color w:val="000000" w:themeColor="text1"/>
        </w:rPr>
      </w:pPr>
      <w:r w:rsidRPr="00853FE4">
        <w:rPr>
          <w:color w:val="000000" w:themeColor="text1"/>
        </w:rPr>
        <w:t xml:space="preserve">However, the same distribution that enables regional responsiveness also creates structural challenges for data interoperability and governance. Data assets that are managed independently by regional offices, science centers, and program offices, without common metadata standards, shared discovery mechanisms, or standardized quality frameworks, cannot be efficiently federated for the cross-regional and ecosystem-based analyses that increasingly drive management decisions. Stocks cross Council boundaries (MSA National Standard 3), environmental changes shift species distributions, and ecosystem-based fishery management requires integrating biological, oceanographic, and socioeconomic data from multiple sources. </w:t>
      </w:r>
      <w:r w:rsidRPr="00853FE4">
        <w:rPr>
          <w:color w:val="000000" w:themeColor="text1"/>
        </w:rPr>
        <w:lastRenderedPageBreak/>
        <w:t>The gap between the distributed organizational structure that produces data and the cross-cutting analytical needs that consume it is not a failure of intent but a consequence of an architecture that was not designed to support enterprise-wide data sharing at scale. The following subsections examine the specific architectural and regulatory dimensions of this challenge, establishing the context for the data mesh reference architecture proposed in Section 5.</w:t>
      </w:r>
    </w:p>
    <w:p w14:paraId="4AD76E7A" w14:textId="77777777" w:rsidR="007D75A8" w:rsidRPr="00853FE4" w:rsidRDefault="00000000">
      <w:pPr>
        <w:pStyle w:val="Heading3"/>
        <w:rPr>
          <w:color w:val="000000" w:themeColor="text1"/>
        </w:rPr>
      </w:pPr>
      <w:bookmarkStart w:id="11" w:name="_fedrr41sz70y" w:colFirst="0" w:colLast="0"/>
      <w:bookmarkEnd w:id="11"/>
      <w:r w:rsidRPr="00853FE4">
        <w:rPr>
          <w:color w:val="000000" w:themeColor="text1"/>
        </w:rPr>
        <w:t>2.2 Architectural Fragmentation and Its Consequences</w:t>
      </w:r>
    </w:p>
    <w:p w14:paraId="45B62619" w14:textId="77777777" w:rsidR="007D75A8" w:rsidRPr="00853FE4" w:rsidRDefault="00000000">
      <w:pPr>
        <w:rPr>
          <w:color w:val="000000" w:themeColor="text1"/>
        </w:rPr>
      </w:pPr>
      <w:r w:rsidRPr="00853FE4">
        <w:rPr>
          <w:color w:val="000000" w:themeColor="text1"/>
        </w:rPr>
        <w:t>The current data architecture of NOAA Fisheries is not a single, designed system but an accretion of independently developed and maintained systems that have accumulated over decades of programmatic and regional autonomy. Regional offices and science centers operate distinct databases, often on legacy platforms, with locally defined schemas, access controls, maintenance practices, and backup procedures. Multiple cloud platforms, including Amazon Web Services, Microsoft Azure, Google Cloud Platform, and Oracle Cloud Infrastructure, have been adopted independently by different organizational units without enterprise-wide standards for identity management, networking, data governance, or cost allocation. Efforts to integrate regional data systems into national frameworks exist, such as the InPort enterprise data catalog and various data governance charters, but these have achieved partial rather than comprehensive adoption (Dehghani, 2022).</w:t>
      </w:r>
    </w:p>
    <w:p w14:paraId="77E05682" w14:textId="77777777" w:rsidR="007D75A8" w:rsidRPr="00853FE4" w:rsidRDefault="007D75A8">
      <w:pPr>
        <w:rPr>
          <w:color w:val="000000" w:themeColor="text1"/>
        </w:rPr>
      </w:pPr>
    </w:p>
    <w:p w14:paraId="7463B9BA" w14:textId="77777777" w:rsidR="007D75A8" w:rsidRPr="00853FE4" w:rsidRDefault="00000000">
      <w:pPr>
        <w:rPr>
          <w:color w:val="000000" w:themeColor="text1"/>
        </w:rPr>
      </w:pPr>
      <w:r w:rsidRPr="00853FE4">
        <w:rPr>
          <w:color w:val="000000" w:themeColor="text1"/>
        </w:rPr>
        <w:t>This fragmentation produces several interrelated consequences that directly impede mission delivery. First, cross-domain data discovery is limited and inconsistent. A stock assessment scientist seeking observer data, a protected species biologist seeking VMS data, or a socioeconomic analyst seeking permit data must know which regional office or science center maintains the relevant system, understand its local access procedures, and often rely on personal relationships to obtain extracts. There is no enterprise-wide mechanism for discovering what data exists, where it resides, who owns it, or how to access it through standardized interfaces. The cost of data acquisition is not primarily technical but organizational: the time and expertise required to navigate a fragmented institutional landscape exceeds the time required for actual analysis.</w:t>
      </w:r>
    </w:p>
    <w:p w14:paraId="30D90231" w14:textId="77777777" w:rsidR="007D75A8" w:rsidRPr="00853FE4" w:rsidRDefault="007D75A8">
      <w:pPr>
        <w:pBdr>
          <w:top w:val="nil"/>
          <w:left w:val="nil"/>
          <w:bottom w:val="nil"/>
          <w:right w:val="nil"/>
          <w:between w:val="nil"/>
        </w:pBdr>
        <w:rPr>
          <w:color w:val="000000" w:themeColor="text1"/>
        </w:rPr>
      </w:pPr>
    </w:p>
    <w:p w14:paraId="1035E1C1" w14:textId="77777777" w:rsidR="007D75A8" w:rsidRPr="00853FE4" w:rsidRDefault="00000000">
      <w:pPr>
        <w:rPr>
          <w:color w:val="000000" w:themeColor="text1"/>
        </w:rPr>
      </w:pPr>
      <w:r w:rsidRPr="00853FE4">
        <w:rPr>
          <w:color w:val="000000" w:themeColor="text1"/>
        </w:rPr>
        <w:t xml:space="preserve">Second, data quality standards and metadata practices are inconsistent across regions and programs. One science center may document survey methodology, quality assurance procedures, and known limitations comprehensively, while another may provide minimal metadata, or no metadata at all. For a cross-regional stock assessment or an ecosystem model that federates data from multiple sources, these inconsistencies mean that the analyst must independently assess the quality and provenance of each input, a burden that scales with the breadth of the analysis. The principle of "best scientific information available" (MSA National Standard 2) requires not only </w:t>
      </w:r>
      <w:r w:rsidRPr="00853FE4">
        <w:rPr>
          <w:color w:val="000000" w:themeColor="text1"/>
        </w:rPr>
        <w:lastRenderedPageBreak/>
        <w:t>that data be accurate but that its quality be assessable, and inconsistent metadata practices undermine this requirement.</w:t>
      </w:r>
    </w:p>
    <w:p w14:paraId="7E225551" w14:textId="77777777" w:rsidR="007D75A8" w:rsidRPr="00853FE4" w:rsidRDefault="007D75A8">
      <w:pPr>
        <w:pBdr>
          <w:top w:val="nil"/>
          <w:left w:val="nil"/>
          <w:bottom w:val="nil"/>
          <w:right w:val="nil"/>
          <w:between w:val="nil"/>
        </w:pBdr>
        <w:rPr>
          <w:color w:val="000000" w:themeColor="text1"/>
        </w:rPr>
      </w:pPr>
    </w:p>
    <w:p w14:paraId="06300B13" w14:textId="77777777" w:rsidR="007D75A8" w:rsidRPr="00853FE4" w:rsidRDefault="00000000">
      <w:pPr>
        <w:rPr>
          <w:color w:val="000000" w:themeColor="text1"/>
        </w:rPr>
      </w:pPr>
      <w:r w:rsidRPr="00853FE4">
        <w:rPr>
          <w:color w:val="000000" w:themeColor="text1"/>
        </w:rPr>
        <w:t>Third, redundant infrastructure and duplicative data processing are widespread. Multiple offices maintain their own copies of reference datasets, such as species taxonomies, vessel registries, or geographic boundaries, each synchronized on different schedules or not at all. Data pipelines that transform raw observer data or dealer reports into analytical datasets are reimplemented independently by each consuming office, producing slightly different results and consuming engineering effort that could be amortized across a shared platform. The absence of a common data engineering infrastructure means that every new analytical use case begins with data acquisition and transformation rather than analysis.</w:t>
      </w:r>
    </w:p>
    <w:p w14:paraId="3438C71D" w14:textId="77777777" w:rsidR="00DB5CA5" w:rsidRPr="00853FE4" w:rsidRDefault="00DB5CA5">
      <w:pPr>
        <w:rPr>
          <w:color w:val="000000" w:themeColor="text1"/>
        </w:rPr>
      </w:pPr>
    </w:p>
    <w:p w14:paraId="7C259B1C" w14:textId="65A2DE58" w:rsidR="007D75A8" w:rsidRPr="00853FE4" w:rsidRDefault="00000000">
      <w:pPr>
        <w:rPr>
          <w:color w:val="000000" w:themeColor="text1"/>
        </w:rPr>
      </w:pPr>
      <w:r w:rsidRPr="00853FE4">
        <w:rPr>
          <w:color w:val="000000" w:themeColor="text1"/>
        </w:rPr>
        <w:t>Fourth, the lead time for integrated analyses is extended to the point where it constrains management responsiveness. When a Council requests an analysis that requires data from multiple domains, such as an evaluation of the socioeconomic impacts of a proposed area closure, the data acquisition phase alone can consume weeks or months, involving formal data requests, manual extracts, format conversions, and quality checks. By the time the analysis is completed, the management context may have shifted, or the Council meeting cycle may have passed. The Emergency Action and interim rule mechanisms available under MSA are designed for situations requiring rapid response, but the data infrastructure cannot currently support the analytical turnaround times that effective use of these mechanisms requires.</w:t>
      </w:r>
    </w:p>
    <w:p w14:paraId="49BC7EC0" w14:textId="77777777" w:rsidR="007D75A8" w:rsidRPr="00853FE4" w:rsidRDefault="007D75A8">
      <w:pPr>
        <w:pBdr>
          <w:top w:val="nil"/>
          <w:left w:val="nil"/>
          <w:bottom w:val="nil"/>
          <w:right w:val="nil"/>
          <w:between w:val="nil"/>
        </w:pBdr>
        <w:rPr>
          <w:color w:val="000000" w:themeColor="text1"/>
        </w:rPr>
      </w:pPr>
    </w:p>
    <w:p w14:paraId="5F577612" w14:textId="77777777" w:rsidR="007D75A8" w:rsidRPr="00853FE4" w:rsidRDefault="00000000">
      <w:pPr>
        <w:rPr>
          <w:color w:val="000000" w:themeColor="text1"/>
        </w:rPr>
      </w:pPr>
      <w:r w:rsidRPr="00853FE4">
        <w:rPr>
          <w:color w:val="000000" w:themeColor="text1"/>
        </w:rPr>
        <w:t>Fifth, enterprise-wide governance and compliance are difficult to implement consistently. Security controls under NIST SP 800-53, confidentiality protections under MSA sec.402(b), and data management obligations under the Evidence Act must be satisfied by each system independently, producing inconsistent implementations and making enterprise-wide assurance difficult to achieve. An auditor seeking to verify that all systems containing confidential observer data have implemented appropriate access controls must examine each system individually rather than relying on a common control implementation inherited from a shared platform.</w:t>
      </w:r>
    </w:p>
    <w:p w14:paraId="39598714" w14:textId="77777777" w:rsidR="007D75A8" w:rsidRPr="00853FE4" w:rsidRDefault="007D75A8">
      <w:pPr>
        <w:pBdr>
          <w:top w:val="nil"/>
          <w:left w:val="nil"/>
          <w:bottom w:val="nil"/>
          <w:right w:val="nil"/>
          <w:between w:val="nil"/>
        </w:pBdr>
        <w:rPr>
          <w:color w:val="000000" w:themeColor="text1"/>
        </w:rPr>
      </w:pPr>
    </w:p>
    <w:p w14:paraId="3A9FCB61" w14:textId="77777777" w:rsidR="007D75A8" w:rsidRPr="00853FE4" w:rsidRDefault="00000000">
      <w:pPr>
        <w:rPr>
          <w:color w:val="000000" w:themeColor="text1"/>
        </w:rPr>
      </w:pPr>
      <w:r w:rsidRPr="00853FE4">
        <w:rPr>
          <w:color w:val="000000" w:themeColor="text1"/>
        </w:rPr>
        <w:t xml:space="preserve">These consequences are not failures of individual programs, offices, or personnel. They are the predictable result of an architecture in which data ownership, infrastructure management, quality assurance, access control, and governance are all performed at the level of individual organizational units without a shared framework for coordination and without a platform that makes compliant, interoperable behavior the path of least resistance. The gap between data production and data consumption described by Dehghani (2022) is visible throughout NOAA Fisheries: the people who understand the data best, domain scientists and program staff, are not </w:t>
      </w:r>
      <w:r w:rsidRPr="00853FE4">
        <w:rPr>
          <w:color w:val="000000" w:themeColor="text1"/>
        </w:rPr>
        <w:lastRenderedPageBreak/>
        <w:t>the people who control the infrastructure, and the people who control the infrastructure, regional IT staff, are not resourced to serve enterprise-wide analytical needs. The data mesh reference architecture proposed in Section 5 is designed to address these root causes, not by centralizing control but by establishing the platform, governance, and accountability structures that enable distributed ownership to function as a coherent ecosystem.</w:t>
      </w:r>
    </w:p>
    <w:p w14:paraId="1F4A1C29" w14:textId="77777777" w:rsidR="007D75A8" w:rsidRPr="00853FE4" w:rsidRDefault="007D75A8">
      <w:pPr>
        <w:rPr>
          <w:color w:val="000000" w:themeColor="text1"/>
        </w:rPr>
      </w:pPr>
    </w:p>
    <w:p w14:paraId="79271527" w14:textId="77777777" w:rsidR="007D75A8" w:rsidRPr="00853FE4" w:rsidRDefault="00000000">
      <w:pPr>
        <w:rPr>
          <w:color w:val="000000" w:themeColor="text1"/>
        </w:rPr>
      </w:pPr>
      <w:r w:rsidRPr="00853FE4">
        <w:rPr>
          <w:color w:val="000000" w:themeColor="text1"/>
        </w:rPr>
        <w:t xml:space="preserve">A closer examination of the electronic monitoring and machine learning subdomain reveals that fragmentation extends into computational workflows that are needlessly duplicated across regions: the same species identification problem is solved independently in each region on separate infrastructure with no shared training data, model registry, or mechanism for cross-regional learning (see </w:t>
      </w:r>
      <w:hyperlink w:anchor="_5dmakw3l91lv">
        <w:r w:rsidRPr="00853FE4">
          <w:rPr>
            <w:color w:val="000000" w:themeColor="text1"/>
            <w:u w:val="single"/>
          </w:rPr>
          <w:t>Figure 1</w:t>
        </w:r>
      </w:hyperlink>
      <w:r w:rsidRPr="00853FE4">
        <w:rPr>
          <w:color w:val="000000" w:themeColor="text1"/>
        </w:rPr>
        <w:t>).</w:t>
      </w:r>
    </w:p>
    <w:p w14:paraId="6B636536" w14:textId="77777777" w:rsidR="007D75A8" w:rsidRPr="00853FE4" w:rsidRDefault="00000000">
      <w:pPr>
        <w:pStyle w:val="Heading3"/>
        <w:rPr>
          <w:color w:val="000000" w:themeColor="text1"/>
        </w:rPr>
      </w:pPr>
      <w:bookmarkStart w:id="12" w:name="_ahndoyfyqjxx" w:colFirst="0" w:colLast="0"/>
      <w:bookmarkEnd w:id="12"/>
      <w:r w:rsidRPr="00853FE4">
        <w:rPr>
          <w:color w:val="000000" w:themeColor="text1"/>
        </w:rPr>
        <w:t>2.3 Legal and Regulatory Mandates</w:t>
      </w:r>
    </w:p>
    <w:p w14:paraId="5F2EC5F8" w14:textId="77777777" w:rsidR="007D75A8" w:rsidRPr="00853FE4" w:rsidRDefault="00000000">
      <w:pPr>
        <w:rPr>
          <w:color w:val="000000" w:themeColor="text1"/>
        </w:rPr>
      </w:pPr>
      <w:r w:rsidRPr="00853FE4">
        <w:rPr>
          <w:color w:val="000000" w:themeColor="text1"/>
        </w:rPr>
        <w:t>The data ecosystem described in the preceding subsections does not exist in a regulatory vacuum. NOAA Fisheries operates under a set of overlapping legal and regulatory mandates that impose specific requirements on data collection, quality, confidentiality, security, and public access. These mandates are not merely compliance obligations to be satisfied; they are architectural constraints that any proposed data architecture must accommodate as first-order design requirements.</w:t>
      </w:r>
    </w:p>
    <w:p w14:paraId="206DB6F4" w14:textId="77777777" w:rsidR="007D75A8" w:rsidRPr="00853FE4" w:rsidRDefault="007D75A8">
      <w:pPr>
        <w:rPr>
          <w:color w:val="000000" w:themeColor="text1"/>
        </w:rPr>
      </w:pPr>
    </w:p>
    <w:p w14:paraId="2626B233" w14:textId="77777777" w:rsidR="00BB72A8" w:rsidRPr="00853FE4" w:rsidRDefault="00000000">
      <w:pPr>
        <w:rPr>
          <w:color w:val="000000" w:themeColor="text1"/>
        </w:rPr>
      </w:pPr>
      <w:r w:rsidRPr="00853FE4">
        <w:rPr>
          <w:color w:val="000000" w:themeColor="text1"/>
        </w:rPr>
        <w:t>The Magnuson-Stevens Fishery Conservation and Management Act (MSA), as amended, establishes the foundational legal framework for federal fisheries management and imposes several data-related requirements. National Standard 2 requires that conservation and management measures be "based on the best scientific information available" (16 U.S.C. sec.1851(a)(2)), a standard that implies not only that data must be accurate but that its quality, provenance, and limitations must be documented, discoverable, and assessable by the Scientific and Statistical Committees, Councils, and reviewing courts that rely on it. National Standard 9 requires Fishery Management Plans to "include a standardized reporting methodology to assess the amount and type of bycatch occurring in the fishery" (16 U.S.C. sec.1851(a)(9)), a mandate that depends on consistent data collection and quality standards across fisheries and regions. Section 402(b) establishes strict confidentiality protections for data submitted by persons identifying individual fishing vessels, owners, operators, or crew members, permitting disclosure only for limited statutory purposes and imposing civil penalties for unauthorized disclosure (16 U.S.C. sec.1881a(b)). Section 403 authorizes the Secretary of Commerce to require fishing vessels to carry observers or operate electronic monitoring systems for conservation and management purposes, and extends the same confidentiality protections to observer information (16 U.S.C. sec.1881b(c)). These provisions create a direct tension that any data architecture must</w:t>
      </w:r>
    </w:p>
    <w:p w14:paraId="2C106BC9" w14:textId="39A91210" w:rsidR="007D75A8" w:rsidRPr="00853FE4" w:rsidRDefault="00000000">
      <w:pPr>
        <w:rPr>
          <w:color w:val="000000" w:themeColor="text1"/>
        </w:rPr>
      </w:pPr>
      <w:r w:rsidRPr="00853FE4">
        <w:rPr>
          <w:color w:val="000000" w:themeColor="text1"/>
        </w:rPr>
        <w:lastRenderedPageBreak/>
        <w:t>resolve: the need to make data discoverable and accessible for scientific and management use, and the simultaneous obligation to prevent unauthorized disclosure of confidential information.</w:t>
      </w:r>
    </w:p>
    <w:p w14:paraId="0D03B9E4" w14:textId="77777777" w:rsidR="007D75A8" w:rsidRPr="00853FE4" w:rsidRDefault="007D75A8">
      <w:pPr>
        <w:pBdr>
          <w:top w:val="nil"/>
          <w:left w:val="nil"/>
          <w:bottom w:val="nil"/>
          <w:right w:val="nil"/>
          <w:between w:val="nil"/>
        </w:pBdr>
        <w:rPr>
          <w:color w:val="000000" w:themeColor="text1"/>
        </w:rPr>
      </w:pPr>
    </w:p>
    <w:p w14:paraId="62FF1852" w14:textId="77777777" w:rsidR="007D75A8" w:rsidRPr="00853FE4" w:rsidRDefault="00000000">
      <w:pPr>
        <w:rPr>
          <w:color w:val="000000" w:themeColor="text1"/>
        </w:rPr>
      </w:pPr>
      <w:r w:rsidRPr="00853FE4">
        <w:rPr>
          <w:color w:val="000000" w:themeColor="text1"/>
        </w:rPr>
        <w:t>The National Institute of Standards and Technology (NIST) security and privacy frameworks impose additional obligations on federal information systems. NIST Special Publication 800-37 Revision 2, the Risk Management Framework (RMF), establishes a seven-step process (Prepare, Categorize, Select, Implement, Assess, Authorize, Monitor) for managing security and privacy risk throughout the system development life cycle (Joint Task Force, 2018). NIST Special Publication 800-53 Revision 5 provides a catalog of security and privacy controls organized into 20 control families, addressing access control, audit and accountability, identification and authentication, system and communications protection, and other domains (Joint Task Force, 2020). Federal agencies must categorize their information systems based on the impact of a loss of confidentiality, integrity, or availability, select appropriate controls from the NIST catalog, implement those controls, assess their effectiveness, and obtain Authorization to Operate (ATO) from a designated Authorizing Official. In the current fragmented architecture, these requirements are satisfied on a per-system basis: each regional database, each cloud deployment, and each application must independently implement controls, undergo assessment, and maintain authorization. This approach, while compliant in principle, produces duplicative effort, inconsistent implementations, and difficulty demonstrating enterprise-wide assurance.</w:t>
      </w:r>
    </w:p>
    <w:p w14:paraId="6F550057" w14:textId="77777777" w:rsidR="007D75A8" w:rsidRPr="00853FE4" w:rsidRDefault="007D75A8">
      <w:pPr>
        <w:pBdr>
          <w:top w:val="nil"/>
          <w:left w:val="nil"/>
          <w:bottom w:val="nil"/>
          <w:right w:val="nil"/>
          <w:between w:val="nil"/>
        </w:pBdr>
        <w:rPr>
          <w:color w:val="000000" w:themeColor="text1"/>
        </w:rPr>
      </w:pPr>
    </w:p>
    <w:p w14:paraId="2AFB01CB" w14:textId="77777777" w:rsidR="007D75A8" w:rsidRPr="00853FE4" w:rsidRDefault="00000000">
      <w:pPr>
        <w:rPr>
          <w:color w:val="000000" w:themeColor="text1"/>
        </w:rPr>
      </w:pPr>
      <w:r w:rsidRPr="00853FE4">
        <w:rPr>
          <w:color w:val="000000" w:themeColor="text1"/>
        </w:rPr>
        <w:t>Federal data governance mandates enacted through legislation add further requirements. The Foundations for Evidence-Based Policymaking Act of 2018 (Evidence Act) requires federal agencies to designate Chief Data Officers, develop comprehensive data inventories, and implement data governance frameworks that ensure data quality, accessibility, and appropriate use. The OPEN Government Data Act, enacted as Title II of the Evidence Act, requires agencies to publish government data in machine-readable formats and to maintain public data catalogs, with the presumption that government data should be open by default unless restrictions on access apply. These mandates operate alongside MSA confidentiality requirements: fisheries data is subject to both the general presumption of openness and the specific statutory requirement of confidentiality. A data architecture must implement both simultaneously, ensuring that aggregate, non-confidential data products are publicly discoverable and accessible while confidential, vessel-level data products are protected by appropriate access controls, a requirement that manual processes cannot satisfy at scale.</w:t>
      </w:r>
    </w:p>
    <w:p w14:paraId="7A8089B5" w14:textId="77777777" w:rsidR="007D75A8" w:rsidRPr="00853FE4" w:rsidRDefault="007D75A8">
      <w:pPr>
        <w:pBdr>
          <w:top w:val="nil"/>
          <w:left w:val="nil"/>
          <w:bottom w:val="nil"/>
          <w:right w:val="nil"/>
          <w:between w:val="nil"/>
        </w:pBdr>
        <w:rPr>
          <w:color w:val="000000" w:themeColor="text1"/>
        </w:rPr>
      </w:pPr>
    </w:p>
    <w:p w14:paraId="302FD11A" w14:textId="77777777" w:rsidR="007D75A8" w:rsidRPr="00853FE4" w:rsidRDefault="00000000">
      <w:pPr>
        <w:rPr>
          <w:color w:val="000000" w:themeColor="text1"/>
        </w:rPr>
      </w:pPr>
      <w:r w:rsidRPr="00853FE4">
        <w:rPr>
          <w:color w:val="000000" w:themeColor="text1"/>
        </w:rPr>
        <w:t xml:space="preserve">Executive Order directives on technology modernization and regulatory flexibility create additional context. Executive Order 13921 of May 7, 2020, "Promoting American Seafood Competitiveness and Economic Growth," directed NOAA Fisheries to improve data collection, </w:t>
      </w:r>
      <w:r w:rsidRPr="00853FE4">
        <w:rPr>
          <w:color w:val="000000" w:themeColor="text1"/>
        </w:rPr>
        <w:lastRenderedPageBreak/>
        <w:t>modernize fishery assessments, and reduce regulatory burdens. Executive Order of April 17, 2025, "Restoring American Seafood Competitiveness," directed the agency to modernize data collection and analytical practices to "improve the responsiveness of fisheries management to real-time ocean conditions" and to incorporate "less expensive and more reliable technologies and cooperative research programs" into fishery assessments. These directives do not create new statutory obligations but signal an expectation that data infrastructure should support responsive, technology-enabled management rather than the multi-month data compilation and analysis cycles that characterize the current state.</w:t>
      </w:r>
    </w:p>
    <w:p w14:paraId="35759EF3" w14:textId="77777777" w:rsidR="007D75A8" w:rsidRPr="00853FE4" w:rsidRDefault="007D75A8">
      <w:pPr>
        <w:pBdr>
          <w:top w:val="nil"/>
          <w:left w:val="nil"/>
          <w:bottom w:val="nil"/>
          <w:right w:val="nil"/>
          <w:between w:val="nil"/>
        </w:pBdr>
        <w:rPr>
          <w:color w:val="000000" w:themeColor="text1"/>
        </w:rPr>
      </w:pPr>
    </w:p>
    <w:p w14:paraId="7C5F9535" w14:textId="77777777" w:rsidR="007D75A8" w:rsidRPr="00853FE4" w:rsidRDefault="00000000">
      <w:pPr>
        <w:rPr>
          <w:color w:val="000000" w:themeColor="text1"/>
        </w:rPr>
      </w:pPr>
      <w:r w:rsidRPr="00853FE4">
        <w:rPr>
          <w:color w:val="000000" w:themeColor="text1"/>
        </w:rPr>
        <w:t>The relationship between these mandates and the data architecture is bidirectional. On one hand, the mandates constrain the architecture: confidentiality requirements dictate access control patterns, NIST 800-53 controls dictate security implementation approaches, and Evidence Act requirements dictate data catalog and metadata standards. On the other hand, the architecture determines how effectively the mandates can be satisfied. The current fragmented approach, in which each system independently implements compliance requirements, satisfies the mandates in a formal sense while failing to achieve their underlying objectives: data remains difficult to discover despite inventory requirements, quality remains inconsistent despite "best scientific information" standards, and confidentiality depends on ad-hoc access controls rather than systematic enforcement. The data mesh reference architecture proposed in Section 5 addresses this gap by encoding compliance requirements as computational governance policies that are enforced automatically through platform services, making compliant behavior the default rather than an additional burden on individual system owners.</w:t>
      </w:r>
    </w:p>
    <w:p w14:paraId="79EC16A6" w14:textId="77777777" w:rsidR="007D75A8" w:rsidRPr="00853FE4" w:rsidRDefault="00000000">
      <w:pPr>
        <w:pStyle w:val="Heading1"/>
        <w:rPr>
          <w:color w:val="000000" w:themeColor="text1"/>
        </w:rPr>
      </w:pPr>
      <w:bookmarkStart w:id="13" w:name="_6aw7bw250xoj" w:colFirst="0" w:colLast="0"/>
      <w:bookmarkEnd w:id="13"/>
      <w:r w:rsidRPr="00853FE4">
        <w:rPr>
          <w:color w:val="000000" w:themeColor="text1"/>
        </w:rPr>
        <w:t>3.0 The Evolution of Big Data Architectures</w:t>
      </w:r>
    </w:p>
    <w:p w14:paraId="712DDD01" w14:textId="77777777" w:rsidR="007D75A8" w:rsidRPr="00853FE4" w:rsidRDefault="00000000">
      <w:pPr>
        <w:rPr>
          <w:color w:val="000000" w:themeColor="text1"/>
        </w:rPr>
      </w:pPr>
      <w:r w:rsidRPr="00853FE4">
        <w:rPr>
          <w:color w:val="000000" w:themeColor="text1"/>
        </w:rPr>
        <w:t xml:space="preserve">The evolution of analytical data architectures over the past four decades can be understood through various paradigm shifts. The data warehouse, which matured in the 1990s, separated analytical workloads from operational systems and provided consistent, governed reporting through centralized schema enforcement. The data lake, which emerged in the early 2010s, enabled storage of unstructured and semi-structured data at scale without up-front schema design by decoupling storage from computation. The data mesh, introduced by Zhamak Dehghani in 2019 and examined through a systematic gray literature review by Goedegebuure et al. (2023), reconfigures the relationship between data ownership, infrastructure, and governance by distributing accountability for analytical data to the domains closest to its creation and meaning. This section traces the characteristics, strengths, and limitations of each paradigm. It then examines Conway's Law (1968) and domain-driven design (Evans, 2003) as foundational </w:t>
      </w:r>
      <w:r w:rsidRPr="00853FE4">
        <w:rPr>
          <w:color w:val="000000" w:themeColor="text1"/>
        </w:rPr>
        <w:lastRenderedPageBreak/>
        <w:t>concepts that inform the architectural choices made in the reference architecture proposed in Section 5, and identifies the contributions this paper makes to the existing body of knowledge.</w:t>
      </w:r>
    </w:p>
    <w:p w14:paraId="07847590" w14:textId="77777777" w:rsidR="007D75A8" w:rsidRPr="00853FE4" w:rsidRDefault="00000000">
      <w:pPr>
        <w:pStyle w:val="Heading3"/>
        <w:rPr>
          <w:color w:val="000000" w:themeColor="text1"/>
        </w:rPr>
      </w:pPr>
      <w:bookmarkStart w:id="14" w:name="_v8fgmhh3xpt5" w:colFirst="0" w:colLast="0"/>
      <w:bookmarkEnd w:id="14"/>
      <w:r w:rsidRPr="00853FE4">
        <w:rPr>
          <w:color w:val="000000" w:themeColor="text1"/>
        </w:rPr>
        <w:t>3.1 The Data Warehouse</w:t>
      </w:r>
    </w:p>
    <w:p w14:paraId="7F9ED513" w14:textId="77777777" w:rsidR="007D75A8" w:rsidRPr="00853FE4" w:rsidRDefault="00000000">
      <w:pPr>
        <w:rPr>
          <w:color w:val="000000" w:themeColor="text1"/>
        </w:rPr>
      </w:pPr>
      <w:r w:rsidRPr="00853FE4">
        <w:rPr>
          <w:color w:val="000000" w:themeColor="text1"/>
        </w:rPr>
        <w:t>The data warehouse represents the first generation of purpose-built analytical data architecture, emerging in the late 1980s and maturing through the 1990s as organizations sought to separate analytical workloads from operational systems. In this model, data from multiple source systems is extracted, transformed to conform to a unified schema, and loaded into a centralized repository optimized for query performance rather than transaction processing (Inmon, 2005; Kimball &amp; Ross, 2013). The defining characteristic of the warehouse paradigm is schema-on-write: data must be structured and validated before it enters the warehouse, ensuring that all queries operate against consistent, cleansed, and integrated data.</w:t>
      </w:r>
    </w:p>
    <w:p w14:paraId="0B6129D9" w14:textId="77777777" w:rsidR="007D75A8" w:rsidRPr="00853FE4" w:rsidRDefault="007D75A8">
      <w:pPr>
        <w:pBdr>
          <w:top w:val="nil"/>
          <w:left w:val="nil"/>
          <w:bottom w:val="nil"/>
          <w:right w:val="nil"/>
          <w:between w:val="nil"/>
        </w:pBdr>
        <w:rPr>
          <w:color w:val="000000" w:themeColor="text1"/>
        </w:rPr>
      </w:pPr>
    </w:p>
    <w:p w14:paraId="298F2B8C" w14:textId="77777777" w:rsidR="007D75A8" w:rsidRPr="00853FE4" w:rsidRDefault="00000000">
      <w:pPr>
        <w:rPr>
          <w:color w:val="000000" w:themeColor="text1"/>
        </w:rPr>
      </w:pPr>
      <w:r w:rsidRPr="00853FE4">
        <w:rPr>
          <w:color w:val="000000" w:themeColor="text1"/>
        </w:rPr>
        <w:t>The strengths of the warehouse model are well documented and were genuinely valuable for the era in which it matured. By enforcing a single enterprise data model, warehouses enabled consistent reporting across functions. By decoupling analytical queries from operational databases, they protected transactional systems from resource-intensive analytical workloads. By centralizing data management, they provided clear governance, a single team was responsible for data quality, access control, and schema evolution. For organizations whose data landscape consisted primarily of structured, well-understood data from internal systems, and whose analytical needs were primarily backward-looking reports and dashboards, the data warehouse was an effective architectural choice.</w:t>
      </w:r>
    </w:p>
    <w:p w14:paraId="748658CC" w14:textId="77777777" w:rsidR="007D75A8" w:rsidRPr="00853FE4" w:rsidRDefault="007D75A8">
      <w:pPr>
        <w:pBdr>
          <w:top w:val="nil"/>
          <w:left w:val="nil"/>
          <w:bottom w:val="nil"/>
          <w:right w:val="nil"/>
          <w:between w:val="nil"/>
        </w:pBdr>
        <w:rPr>
          <w:color w:val="000000" w:themeColor="text1"/>
        </w:rPr>
      </w:pPr>
    </w:p>
    <w:p w14:paraId="61097A20" w14:textId="77777777" w:rsidR="007D75A8" w:rsidRPr="00853FE4" w:rsidRDefault="00000000">
      <w:pPr>
        <w:rPr>
          <w:color w:val="000000" w:themeColor="text1"/>
        </w:rPr>
      </w:pPr>
      <w:r w:rsidRPr="00853FE4">
        <w:rPr>
          <w:color w:val="000000" w:themeColor="text1"/>
        </w:rPr>
        <w:t xml:space="preserve">However, the warehouse model exhibits structural limitations that compound as organizational complexity and data volume increase. First, the schema-on-write approach creates rigidity: adding new data sources requires schema modifications, ETL pipeline changes, and coordination with the central warehouse team. As the pace of data generation accelerates, new operational systems, new instrument streams, new external data sources, the warehouse team becomes a bottleneck, unable to keep up with demand (Dehghani, 2022). As Dehghani (2022) explained, drawing on Evans (2003), "Centralized modeling leads to organizational bottlenecks for change." Second, the warehouse imposes a single canonical data model on the entire organization, forcing diverse domains with different semantics and analytical needs into a common schema. This works against the grain of organizational complexity: what a fishery stock assessment scientist means by "catch" is fundamentally different from what a protected species biologist means by the same term, and a unified schema must either elide these distinctions or impose artificial uniformity. Third, the warehouse model is capital-intensive, requiring significant upfront investment in hardware or committed cloud spend, specialized expertise, and ongoing </w:t>
      </w:r>
      <w:r w:rsidRPr="00853FE4">
        <w:rPr>
          <w:color w:val="000000" w:themeColor="text1"/>
        </w:rPr>
        <w:lastRenderedPageBreak/>
        <w:t>maintenance, costs that must be justified to continue as data volumes grow and analytical demands diversify.</w:t>
      </w:r>
    </w:p>
    <w:p w14:paraId="439F0CBE" w14:textId="77777777" w:rsidR="007D75A8" w:rsidRPr="00853FE4" w:rsidRDefault="007D75A8">
      <w:pPr>
        <w:pBdr>
          <w:top w:val="nil"/>
          <w:left w:val="nil"/>
          <w:bottom w:val="nil"/>
          <w:right w:val="nil"/>
          <w:between w:val="nil"/>
        </w:pBdr>
        <w:rPr>
          <w:color w:val="000000" w:themeColor="text1"/>
        </w:rPr>
      </w:pPr>
    </w:p>
    <w:p w14:paraId="47B8BD2C" w14:textId="77777777" w:rsidR="007D75A8" w:rsidRPr="00853FE4" w:rsidRDefault="00000000">
      <w:pPr>
        <w:rPr>
          <w:color w:val="000000" w:themeColor="text1"/>
        </w:rPr>
      </w:pPr>
      <w:r w:rsidRPr="00853FE4">
        <w:rPr>
          <w:color w:val="000000" w:themeColor="text1"/>
        </w:rPr>
        <w:t>For NOAA Fisheries, the warehouse pattern is familiar. Many regional offices, science centers, and program offices have historically relied on centralized databases to serve as the authoritative repository for specific data domains. These systems have supported mission-critical functions for decades, and their limitations are not of incompetence but of architecture: they were designed for a set of assumptions about data volume, variety, and organizational complexity that no longer hold. The challenge is not that warehouses are wrong but that they are insufficient when analytical data must be shared across organizational boundaries, when data sources are heterogeneous and evolving, and when governance must accommodate both centralized compliance mandates and domain-level autonomy, conditions that characterize the current NOAA Fisheries data landscape and motivate the exploration of alternative architectures.</w:t>
      </w:r>
    </w:p>
    <w:p w14:paraId="153E2D42" w14:textId="77777777" w:rsidR="007D75A8" w:rsidRPr="00853FE4" w:rsidRDefault="00000000">
      <w:pPr>
        <w:pStyle w:val="Heading3"/>
        <w:rPr>
          <w:color w:val="000000" w:themeColor="text1"/>
        </w:rPr>
      </w:pPr>
      <w:bookmarkStart w:id="15" w:name="_qv0t09pmbyxl" w:colFirst="0" w:colLast="0"/>
      <w:bookmarkEnd w:id="15"/>
      <w:r w:rsidRPr="00853FE4">
        <w:rPr>
          <w:color w:val="000000" w:themeColor="text1"/>
        </w:rPr>
        <w:t>3.2 The Data Lake</w:t>
      </w:r>
    </w:p>
    <w:p w14:paraId="0D5B0283" w14:textId="77777777" w:rsidR="007D75A8" w:rsidRPr="00853FE4" w:rsidRDefault="00000000">
      <w:pPr>
        <w:rPr>
          <w:color w:val="000000" w:themeColor="text1"/>
        </w:rPr>
      </w:pPr>
      <w:r w:rsidRPr="00853FE4">
        <w:rPr>
          <w:color w:val="000000" w:themeColor="text1"/>
        </w:rPr>
        <w:t>The data lake emerged in the early 2010s as a response to the recognized limitations of the data warehouse. Where the warehouse required schema-on-write, data must be structured and validated before ingestion, the lake promised schema-on-read: data could be ingested in its raw, native format and structured at query time, enabling organizations to capture data first and determine its analytical value later (Fang, 2015). Enabled by the declining cost of cloud object storage and the maturation of the Hadoop ecosystem, the data lake offered three compelling propositions: unlimited scale without the up-front provisioning costs of a traditional data warehouse; the ability to store unstructured and semi-structured data (logs, images, sensor readings, documents) alongside relational data; and the promise of democratized access, where any data scientist or analyst could access any data without waiting for the warehouse team to model and load it (Dehghani, 2022).</w:t>
      </w:r>
    </w:p>
    <w:p w14:paraId="777C24A4" w14:textId="77777777" w:rsidR="007D75A8" w:rsidRPr="00853FE4" w:rsidRDefault="007D75A8">
      <w:pPr>
        <w:pBdr>
          <w:top w:val="nil"/>
          <w:left w:val="nil"/>
          <w:bottom w:val="nil"/>
          <w:right w:val="nil"/>
          <w:between w:val="nil"/>
        </w:pBdr>
        <w:rPr>
          <w:color w:val="000000" w:themeColor="text1"/>
        </w:rPr>
      </w:pPr>
    </w:p>
    <w:p w14:paraId="7096AB99" w14:textId="77777777" w:rsidR="007D75A8" w:rsidRPr="00853FE4" w:rsidRDefault="00000000">
      <w:pPr>
        <w:rPr>
          <w:color w:val="000000" w:themeColor="text1"/>
        </w:rPr>
      </w:pPr>
      <w:r w:rsidRPr="00853FE4">
        <w:rPr>
          <w:color w:val="000000" w:themeColor="text1"/>
        </w:rPr>
        <w:t>In theory, the data lake resolved the data warehouse's bottleneck problem. By decoupling storage from computation and removing the requirement for up-front schema design, it enabled organizations to capture data at rates and volumes previously unimaginable. The slogan "store everything, analyze anything" captured the aspiration: data that might prove valuable in the future should not be discarded simply because its analytical purpose was not yet known. This was a philosophically important shift: it acknowledged that in complex organizations with diverse data landscapes, the people who understand the data best, domain experts, are often not the people who design the data architecture, and pre-judging what data is valuable risks losing analytical potential.</w:t>
      </w:r>
    </w:p>
    <w:p w14:paraId="5F420EBB" w14:textId="77777777" w:rsidR="007D75A8" w:rsidRPr="00853FE4" w:rsidRDefault="007D75A8">
      <w:pPr>
        <w:pBdr>
          <w:top w:val="nil"/>
          <w:left w:val="nil"/>
          <w:bottom w:val="nil"/>
          <w:right w:val="nil"/>
          <w:between w:val="nil"/>
        </w:pBdr>
        <w:rPr>
          <w:color w:val="000000" w:themeColor="text1"/>
        </w:rPr>
      </w:pPr>
    </w:p>
    <w:p w14:paraId="043C0968" w14:textId="77777777" w:rsidR="007D75A8" w:rsidRPr="00853FE4" w:rsidRDefault="00000000">
      <w:pPr>
        <w:rPr>
          <w:color w:val="000000" w:themeColor="text1"/>
        </w:rPr>
      </w:pPr>
      <w:r w:rsidRPr="00853FE4">
        <w:rPr>
          <w:color w:val="000000" w:themeColor="text1"/>
        </w:rPr>
        <w:lastRenderedPageBreak/>
        <w:t>The practice of the data lake, however, frequently fell short of the promise. The most widely documented failure mode was the transformation of data lakes into "data swamps" (Goedegebuure et al., 2023; Dehghani, 2022). Without the discipline imposed by the warehouse's schema-on-write, data was ingested without adequate metadata, without quality validation, and without clear ownership. A lake that promised discoverability delivered the opposite: thousands of datasets of unknown provenance, uncertain quality, and undocumented semantics, navigable only by the few people who had originally deposited the data. The democratization of access presupposed that the data was findable and comprehensible, and in the absence of governance, it was neither. As Dehghani (2022) explained, the separation of code from data "creates orphaned datasets that decay over time" and, at scale, manifests as "data swamps—a deteriorated data lake."</w:t>
      </w:r>
    </w:p>
    <w:p w14:paraId="0E419CB9" w14:textId="77777777" w:rsidR="007D75A8" w:rsidRPr="00853FE4" w:rsidRDefault="007D75A8">
      <w:pPr>
        <w:pBdr>
          <w:top w:val="nil"/>
          <w:left w:val="nil"/>
          <w:bottom w:val="nil"/>
          <w:right w:val="nil"/>
          <w:between w:val="nil"/>
        </w:pBdr>
        <w:rPr>
          <w:color w:val="000000" w:themeColor="text1"/>
        </w:rPr>
      </w:pPr>
    </w:p>
    <w:p w14:paraId="062612B1" w14:textId="77777777" w:rsidR="007D75A8" w:rsidRPr="00853FE4" w:rsidRDefault="00000000">
      <w:pPr>
        <w:rPr>
          <w:color w:val="000000" w:themeColor="text1"/>
        </w:rPr>
      </w:pPr>
      <w:r w:rsidRPr="00853FE4">
        <w:rPr>
          <w:color w:val="000000" w:themeColor="text1"/>
        </w:rPr>
        <w:t>A second failure mode was organizational. The data lake did not fundamentally change the ownership model: while storage was decentralized across cloud accounts and buckets, ownership of the data infrastructure remained with the same centralized data team that had managed the warehouse. The lake increased the volume and variety of data the central team was responsible for without providing the corresponding resources or organizational authority to manage it effectively (Dehghani, 2022). The result was a team overwhelmed by the scale of their responsibilities, domains frustrated by the difficulty of getting their data into and out of the lake, and consumers unable to distinguish between trustworthy and untrustworthy datasets. The technical architecture had changed, but the organizational architecture, a central data team owning all analytical data infrastructure, had not, and the mismatch between the two created friction.</w:t>
      </w:r>
    </w:p>
    <w:p w14:paraId="7DA7CD97" w14:textId="77777777" w:rsidR="007D75A8" w:rsidRPr="00853FE4" w:rsidRDefault="007D75A8">
      <w:pPr>
        <w:pBdr>
          <w:top w:val="nil"/>
          <w:left w:val="nil"/>
          <w:bottom w:val="nil"/>
          <w:right w:val="nil"/>
          <w:between w:val="nil"/>
        </w:pBdr>
        <w:rPr>
          <w:color w:val="000000" w:themeColor="text1"/>
        </w:rPr>
      </w:pPr>
    </w:p>
    <w:p w14:paraId="29870A06" w14:textId="77777777" w:rsidR="007D75A8" w:rsidRPr="00853FE4" w:rsidRDefault="00000000">
      <w:pPr>
        <w:rPr>
          <w:color w:val="000000" w:themeColor="text1"/>
        </w:rPr>
      </w:pPr>
      <w:r w:rsidRPr="00853FE4">
        <w:rPr>
          <w:color w:val="000000" w:themeColor="text1"/>
        </w:rPr>
        <w:t>The data lake produced an important lesson that directly informs the data mesh: storage decentralization without ownership accountability does not solve the problems of centralized data architectures; it merely relocates them. Making it possible to store unlimited data is not the same as making it possible to derive value from that data. Value requires discoverability, trustworthiness, and clear accountability, all of which are organizational properties, not storage properties. Data lake demonstrated that simply moving data from siloed databases to a shared storage platform, without changing who is responsible for the quality and meaning of that data, produces not democratization but disorganization. This insight, that architectural change must be accompanied by organizational change, and that data ownership and accountability are the foundation of data usability, is one of the core motivations for the data mesh paradigm.</w:t>
      </w:r>
    </w:p>
    <w:p w14:paraId="3C985EDF" w14:textId="77777777" w:rsidR="007D75A8" w:rsidRPr="00853FE4" w:rsidRDefault="007D75A8">
      <w:pPr>
        <w:pBdr>
          <w:top w:val="nil"/>
          <w:left w:val="nil"/>
          <w:bottom w:val="nil"/>
          <w:right w:val="nil"/>
          <w:between w:val="nil"/>
        </w:pBdr>
        <w:rPr>
          <w:color w:val="000000" w:themeColor="text1"/>
        </w:rPr>
      </w:pPr>
    </w:p>
    <w:p w14:paraId="3C7C70EC" w14:textId="77777777" w:rsidR="007D75A8" w:rsidRPr="00853FE4" w:rsidRDefault="00000000">
      <w:pPr>
        <w:rPr>
          <w:color w:val="000000" w:themeColor="text1"/>
        </w:rPr>
      </w:pPr>
      <w:r w:rsidRPr="00853FE4">
        <w:rPr>
          <w:color w:val="000000" w:themeColor="text1"/>
        </w:rPr>
        <w:t xml:space="preserve">For NOAA Fisheries, the lake pattern is visible in the current multi-cloud environment, in which regional offices and science centers have independently adopted various cloud storage platforms </w:t>
      </w:r>
      <w:r w:rsidRPr="00853FE4">
        <w:rPr>
          <w:color w:val="000000" w:themeColor="text1"/>
        </w:rPr>
        <w:lastRenderedPageBreak/>
        <w:t>without a common governance framework, shared metadata standards, or standardized quality requirements. The result is not a coordinated data ecosystem but a collection of cloud-based silos that, while more scalable than their on-premises predecessors, reproduce the same discoverability, interoperability, and accountability challenges that the migration to cloud was intended to resolve. The lesson of the lake era, that infrastructure alone is insufficient, informs the architecture proposed in Section 5, which addresses data ownership and governance as first-order architectural concerns.</w:t>
      </w:r>
    </w:p>
    <w:p w14:paraId="0D04D465" w14:textId="77777777" w:rsidR="007D75A8" w:rsidRPr="00853FE4" w:rsidRDefault="00000000">
      <w:pPr>
        <w:pStyle w:val="Heading3"/>
        <w:rPr>
          <w:color w:val="000000" w:themeColor="text1"/>
        </w:rPr>
      </w:pPr>
      <w:bookmarkStart w:id="16" w:name="_z6xhf3t3v9iz" w:colFirst="0" w:colLast="0"/>
      <w:bookmarkEnd w:id="16"/>
      <w:r w:rsidRPr="00853FE4">
        <w:rPr>
          <w:color w:val="000000" w:themeColor="text1"/>
        </w:rPr>
        <w:t>3.3 Data Mesh</w:t>
      </w:r>
    </w:p>
    <w:p w14:paraId="0D54E52F" w14:textId="77777777" w:rsidR="007D75A8" w:rsidRPr="00853FE4" w:rsidRDefault="00000000">
      <w:pPr>
        <w:rPr>
          <w:color w:val="000000" w:themeColor="text1"/>
        </w:rPr>
      </w:pPr>
      <w:r w:rsidRPr="00853FE4">
        <w:rPr>
          <w:color w:val="000000" w:themeColor="text1"/>
        </w:rPr>
        <w:t>The limitations of both the data warehouse and the data lake created the conditions for a fundamentally different approach to analytical data architecture. The warehouse demonstrated that centralized schema enforcement produces consistency but creates an organizational bottleneck that scales poorly with complexity. The lake demonstrated that infrastructure decentralization without ownership decentralization produces not democratization but disorganization. The data mesh, introduced by Zhamak Dehghani in 2019, proposed a third path: an architecture that preserves the governance and quality strengths of the warehouse while embracing the scale and flexibility of the lake, but resolves the ownership tension that undermined both predecessors by distributing accountability for data to the domains that create and understand it (Dehghani, 2019, 2020, 2022). Dehghani (2022) framed the emergence of data mesh as a Kuhnian paradigm shift, arguing that the data community is in "a moment of Kuhnian crisis in the progression of our approach for data" and that this crisis creates "a need for a new paradigm."</w:t>
      </w:r>
    </w:p>
    <w:p w14:paraId="0CE90249" w14:textId="77777777" w:rsidR="007D75A8" w:rsidRPr="00853FE4" w:rsidRDefault="007D75A8">
      <w:pPr>
        <w:pBdr>
          <w:top w:val="nil"/>
          <w:left w:val="nil"/>
          <w:bottom w:val="nil"/>
          <w:right w:val="nil"/>
          <w:between w:val="nil"/>
        </w:pBdr>
        <w:rPr>
          <w:color w:val="000000" w:themeColor="text1"/>
        </w:rPr>
      </w:pPr>
    </w:p>
    <w:p w14:paraId="62096590" w14:textId="77777777" w:rsidR="007D75A8" w:rsidRPr="00853FE4" w:rsidRDefault="00000000">
      <w:pPr>
        <w:rPr>
          <w:color w:val="000000" w:themeColor="text1"/>
        </w:rPr>
      </w:pPr>
      <w:r w:rsidRPr="00853FE4">
        <w:rPr>
          <w:color w:val="000000" w:themeColor="text1"/>
        </w:rPr>
        <w:t>The central insight of the data mesh is that the scaling problem in analytical data is fundamentally organizational, not technological. The warehouse failed not because relational databases or ETL pipelines were inadequate technologies but because responsibility for all analytical data across a complex organization was concentrated in a single team that could not keep pace with the volume, variety, and velocity of demand. The lake failed not because Hadoop or cloud object storage was insufficient but because raw storage capacity without clear ownership and governance produced an ungovernable morass. In both architectures, the bottleneck was the same: a centralized data team acting as gatekeeper for all analytical data, whether by requiring schema design before ingestion (warehouse) or by being the default owner of all lake-contents without the resources to curate them (lake). The data mesh addresses this by recognizing that in a complex organization, the people best positioned to curate, document, and guarantee the quality of analytical data are the domain experts who work with it daily, and that the role of a centralized data function should shift from ownership to enablement, providing the platform, standards, and governance framework within which domains exercise their ownership.</w:t>
      </w:r>
    </w:p>
    <w:p w14:paraId="1D8A2440" w14:textId="77777777" w:rsidR="007D75A8" w:rsidRPr="00853FE4" w:rsidRDefault="007D75A8">
      <w:pPr>
        <w:pBdr>
          <w:top w:val="nil"/>
          <w:left w:val="nil"/>
          <w:bottom w:val="nil"/>
          <w:right w:val="nil"/>
          <w:between w:val="nil"/>
        </w:pBdr>
        <w:rPr>
          <w:color w:val="000000" w:themeColor="text1"/>
        </w:rPr>
      </w:pPr>
    </w:p>
    <w:p w14:paraId="579D640B" w14:textId="77777777" w:rsidR="007D75A8" w:rsidRPr="00853FE4" w:rsidRDefault="00000000">
      <w:pPr>
        <w:rPr>
          <w:color w:val="000000" w:themeColor="text1"/>
        </w:rPr>
      </w:pPr>
      <w:r w:rsidRPr="00853FE4">
        <w:rPr>
          <w:color w:val="000000" w:themeColor="text1"/>
        </w:rPr>
        <w:t>The data mesh is supported by a growing body of practice-oriented literature. Perrin and Broda (2024) provide practical implementation guidance covering data product specification, data contracts, platform architecture, and governance operating models, distilling their experience into the equation that "Local Autonomy + Speed = Agility," and emphasizing that "successful Data Mesh implementation relies 20% on technology and 80% on winning over people." Goedegebuure et al. (2023) conducted a systematic gray literature review of data mesh implementations, finding evidence of the paradigm's effectiveness for large organizations with complex, heterogeneous data landscapes while identifying gaps in empirical validation and domain-specific reference architectures. Gafoor et al. (2022) published a four-part series examining organizational operating models, product thinking, technology architecture, and practical approaches to getting started, providing a comprehensive framework for practitioners. Beyer (2024) distilled ten recommendations for successful enterprise adoption, emphasizing the importance of executive sponsorship, iterative rollout, and investment in platform and governance capabilities.</w:t>
      </w:r>
    </w:p>
    <w:p w14:paraId="4C13EE0F" w14:textId="77777777" w:rsidR="007D75A8" w:rsidRPr="00853FE4" w:rsidRDefault="007D75A8">
      <w:pPr>
        <w:pBdr>
          <w:top w:val="nil"/>
          <w:left w:val="nil"/>
          <w:bottom w:val="nil"/>
          <w:right w:val="nil"/>
          <w:between w:val="nil"/>
        </w:pBdr>
        <w:rPr>
          <w:color w:val="000000" w:themeColor="text1"/>
        </w:rPr>
      </w:pPr>
    </w:p>
    <w:p w14:paraId="33A09D27" w14:textId="77777777" w:rsidR="007D75A8" w:rsidRPr="00853FE4" w:rsidRDefault="00000000">
      <w:pPr>
        <w:rPr>
          <w:color w:val="000000" w:themeColor="text1"/>
        </w:rPr>
      </w:pPr>
      <w:r w:rsidRPr="00853FE4">
        <w:rPr>
          <w:color w:val="000000" w:themeColor="text1"/>
        </w:rPr>
        <w:t>What distinguishes the data mesh from its predecessors is not any single technical innovation but a reconfiguration of the relationship between technology, organization, and governance. The warehouse assumed that centralization was the path to quality; the lake assumed that centralization was the path to scalability; the mesh recognizes that centralization in data architecture, as in software architecture before it, becomes a limiting factor beyond a certain organizational complexity. The mesh does not abolish centralized capabilities, it still requires a platform team, a governance council, and enterprise standards, but it relocates the authority for data content, quality, and lifecycle from a central team to domain teams, and it automates the enforcement of governance policies computationally rather than through manual gatekeeping. The next section examines each of the four principles in detail, establishing the intellectual foundations and operational implications that will be instantiated in the reference architecture proposed in Section 5.</w:t>
      </w:r>
    </w:p>
    <w:p w14:paraId="33B9A3A1" w14:textId="77777777" w:rsidR="007D75A8" w:rsidRPr="00853FE4" w:rsidRDefault="00000000">
      <w:pPr>
        <w:pStyle w:val="Heading3"/>
        <w:rPr>
          <w:color w:val="000000" w:themeColor="text1"/>
        </w:rPr>
      </w:pPr>
      <w:bookmarkStart w:id="17" w:name="_4tq6uhkp931" w:colFirst="0" w:colLast="0"/>
      <w:bookmarkEnd w:id="17"/>
      <w:r w:rsidRPr="00853FE4">
        <w:rPr>
          <w:color w:val="000000" w:themeColor="text1"/>
        </w:rPr>
        <w:t>3.4 Conway's Law and Domain-Driven Design as Architectural Frameworks</w:t>
      </w:r>
    </w:p>
    <w:p w14:paraId="73C735BF" w14:textId="77777777" w:rsidR="007D75A8" w:rsidRPr="00853FE4" w:rsidRDefault="00000000">
      <w:pPr>
        <w:rPr>
          <w:color w:val="000000" w:themeColor="text1"/>
        </w:rPr>
      </w:pPr>
      <w:r w:rsidRPr="00853FE4">
        <w:rPr>
          <w:color w:val="000000" w:themeColor="text1"/>
        </w:rPr>
        <w:t xml:space="preserve">If one accepts the premise established by the preceding evolutionary analysis, that the fundamental scaling challenge in analytical data is organizational rather than technological, then a critical architectural question follows: by what criterion should an organization decompose its analytical data architecture into manageable units? The data mesh answer, following Dehghani (2022), is that the decomposition should align with domain boundaries defined by the existing organizational structure and mission capabilities, rather than along technological layers such as </w:t>
      </w:r>
      <w:r w:rsidRPr="00853FE4">
        <w:rPr>
          <w:color w:val="000000" w:themeColor="text1"/>
        </w:rPr>
        <w:lastRenderedPageBreak/>
        <w:t>storage, processing, and serving. This answer aligns with two foundational bodies of work: Conway's Law and domain-driven design.</w:t>
      </w:r>
    </w:p>
    <w:p w14:paraId="3C65CD8F" w14:textId="77777777" w:rsidR="007D75A8" w:rsidRPr="00853FE4" w:rsidRDefault="007D75A8">
      <w:pPr>
        <w:pBdr>
          <w:top w:val="nil"/>
          <w:left w:val="nil"/>
          <w:bottom w:val="nil"/>
          <w:right w:val="nil"/>
          <w:between w:val="nil"/>
        </w:pBdr>
        <w:rPr>
          <w:color w:val="000000" w:themeColor="text1"/>
        </w:rPr>
      </w:pPr>
    </w:p>
    <w:p w14:paraId="288BB374" w14:textId="77777777" w:rsidR="007D75A8" w:rsidRPr="00853FE4" w:rsidRDefault="00000000">
      <w:pPr>
        <w:rPr>
          <w:color w:val="000000" w:themeColor="text1"/>
        </w:rPr>
      </w:pPr>
      <w:r w:rsidRPr="00853FE4">
        <w:rPr>
          <w:color w:val="000000" w:themeColor="text1"/>
        </w:rPr>
        <w:t>Melvin Conway observed in 1968 that "organizations which design systems are constrained to produce designs which are copies of the communication structures of these organizations." Or, the way people within an organization communicate with each other directly shapes the architecture of the systems they build. Teams that must coordinate frequently and extensively produce tightly coupled systems with deep interdependencies. Teams that operate independently with clearly defined interfaces and minimal coordination overhead produce loosely coupled, modular systems. Conway's Law is not a management aphorism; it is an empirically observable structural constraint that has been validated across decades of software engineering practice (Herbsleb &amp; Grinter, 1999; Nagappan et al., 2008). For data architecture specifically, its implication is clear: the alignment between organizational structure and data architecture is not a preference but a structural constraint. For NOAA Fisheries, this suggests that the most durable domain boundaries will be those that align with the functional mission responsibilities established by the Magnuson-Stevens Act, each corresponding to a statutory function such as stock assessment, fishery monitoring, vessel operations, or protected species conservation, with regional context carried as metadata dimensions within each data product rather than as separate ownership boundaries. The centralized warehouse and lake models both violated Conway's Law by imposing a single organizational unit (the central data team) as the gatekeeper for all analytical data, regardless of where that data originated or who understood it best.</w:t>
      </w:r>
    </w:p>
    <w:p w14:paraId="12702E14" w14:textId="77777777" w:rsidR="007D75A8" w:rsidRPr="00853FE4" w:rsidRDefault="007D75A8">
      <w:pPr>
        <w:pBdr>
          <w:top w:val="nil"/>
          <w:left w:val="nil"/>
          <w:bottom w:val="nil"/>
          <w:right w:val="nil"/>
          <w:between w:val="nil"/>
        </w:pBdr>
        <w:rPr>
          <w:color w:val="000000" w:themeColor="text1"/>
        </w:rPr>
      </w:pPr>
    </w:p>
    <w:p w14:paraId="74A46CEF" w14:textId="77777777" w:rsidR="007D75A8" w:rsidRPr="00853FE4" w:rsidRDefault="00000000">
      <w:pPr>
        <w:rPr>
          <w:color w:val="000000" w:themeColor="text1"/>
        </w:rPr>
      </w:pPr>
      <w:r w:rsidRPr="00853FE4">
        <w:rPr>
          <w:color w:val="000000" w:themeColor="text1"/>
        </w:rPr>
        <w:t>Parnas (1971) provided a complementary criterion in his foundational work on system decomposition. He argued that the most effective modularization is one that isolates the design decisions most likely to change behind stable interfaces. When applied to analytical data, this principle suggests that domain-specific schemas, quality rules, and business logic, the aspects of data most likely to evolve as scientific understanding, regulatory requirements, and operational practices change, should be encapsulated within domain boundaries, with data contracts providing the stable, versioned interfaces between domains. A Parnas-optimal decomposition anticipates change: when a stock assessment domain revises its survey methodology or an observer program updates its data collection protocols, the blast radius of that change should be contained to that domain's internal data products, not propagated across the entire analytical infrastructure.</w:t>
      </w:r>
    </w:p>
    <w:p w14:paraId="62F40B74" w14:textId="77777777" w:rsidR="007D75A8" w:rsidRPr="00853FE4" w:rsidRDefault="007D75A8">
      <w:pPr>
        <w:pBdr>
          <w:top w:val="nil"/>
          <w:left w:val="nil"/>
          <w:bottom w:val="nil"/>
          <w:right w:val="nil"/>
          <w:between w:val="nil"/>
        </w:pBdr>
        <w:rPr>
          <w:color w:val="000000" w:themeColor="text1"/>
        </w:rPr>
      </w:pPr>
    </w:p>
    <w:p w14:paraId="476839EE" w14:textId="77777777" w:rsidR="007D75A8" w:rsidRPr="00853FE4" w:rsidRDefault="00000000">
      <w:pPr>
        <w:rPr>
          <w:color w:val="000000" w:themeColor="text1"/>
        </w:rPr>
      </w:pPr>
      <w:r w:rsidRPr="00853FE4">
        <w:rPr>
          <w:color w:val="000000" w:themeColor="text1"/>
        </w:rPr>
        <w:t xml:space="preserve">Domain-driven design, introduced by Eric Evans in 2003, provides the methodological framework for translating these organizational and modular principles into architectural practice. DDD's central construct, the bounded context, is a boundary within which a particular domain </w:t>
      </w:r>
      <w:r w:rsidRPr="00853FE4">
        <w:rPr>
          <w:color w:val="000000" w:themeColor="text1"/>
        </w:rPr>
        <w:lastRenderedPageBreak/>
        <w:t>model applies consistently and within which a shared ubiquitous language, a common terminology understood by both domain experts and developers, governs all communication. Each bounded context maps to a distinct area of organizational capability with its own terminology, rules, data semantics, and implicit assumptions about what the data means. Critically, bounded contexts are identified not through technical analysis of data structures but through collaborative knowledge crunching with domain experts, structured conversations in which architects and domain scientists jointly discover what concepts matter, what terms mean, and where natural semantic boundaries exist (Steinegger et al., 2017). This methodology is directly applicable to NOAA Fisheries, where domains like stock assessment, observer programs, and electronic monitoring each have their own specialized vocabularies, quality standards, and analytical conventions that outside experts cannot simply infer from database schemas.</w:t>
      </w:r>
    </w:p>
    <w:p w14:paraId="048342AC" w14:textId="77777777" w:rsidR="007D75A8" w:rsidRPr="00853FE4" w:rsidRDefault="007D75A8">
      <w:pPr>
        <w:pBdr>
          <w:top w:val="nil"/>
          <w:left w:val="nil"/>
          <w:bottom w:val="nil"/>
          <w:right w:val="nil"/>
          <w:between w:val="nil"/>
        </w:pBdr>
        <w:rPr>
          <w:color w:val="000000" w:themeColor="text1"/>
        </w:rPr>
      </w:pPr>
    </w:p>
    <w:p w14:paraId="3AA1607B" w14:textId="77777777" w:rsidR="007D75A8" w:rsidRPr="00853FE4" w:rsidRDefault="00000000">
      <w:pPr>
        <w:rPr>
          <w:color w:val="000000" w:themeColor="text1"/>
        </w:rPr>
      </w:pPr>
      <w:r w:rsidRPr="00853FE4">
        <w:rPr>
          <w:color w:val="000000" w:themeColor="text1"/>
        </w:rPr>
        <w:t>Conway's Law explains why domain-oriented decomposition is necessary; Parnas explains why it is architecturally sound; DDD provides the methodology for executing it. Together, they establish that the correct unit of decomposition for NOAA Fisheries analytical data architecture is the mission domain, not because data mesh theory prescribes it, but because the organizational structure, regulatory mandates, and scientific practices of NOAA Fisheries already produce natural boundaries that an effective architecture should respect rather than override. Conway's Law also explains the current state of fragmentation: the regional and programmatic boundaries that characterize NOAA Fisheries' organizational structure are already reflected in its data systems, because they could not avoid being reflected. The data mesh does not introduce domain boundaries; it acknowledges the domain boundaries that already exist and provides the architectural mechanisms, data products, platform services, federated governance, to make them work together as an interoperable ecosystem rather than a collection of isolated silos.</w:t>
      </w:r>
    </w:p>
    <w:p w14:paraId="5BFF17AA" w14:textId="77777777" w:rsidR="007D75A8" w:rsidRPr="00853FE4" w:rsidRDefault="00000000">
      <w:pPr>
        <w:pStyle w:val="Heading3"/>
        <w:rPr>
          <w:color w:val="000000" w:themeColor="text1"/>
        </w:rPr>
      </w:pPr>
      <w:bookmarkStart w:id="18" w:name="_cnbbqqfcf5x2" w:colFirst="0" w:colLast="0"/>
      <w:bookmarkEnd w:id="18"/>
      <w:r w:rsidRPr="00853FE4">
        <w:rPr>
          <w:color w:val="000000" w:themeColor="text1"/>
        </w:rPr>
        <w:t>3.5 Contributions of This Work</w:t>
      </w:r>
    </w:p>
    <w:p w14:paraId="643BAB73" w14:textId="77777777" w:rsidR="007D75A8" w:rsidRPr="00853FE4" w:rsidRDefault="00000000">
      <w:pPr>
        <w:rPr>
          <w:color w:val="000000" w:themeColor="text1"/>
        </w:rPr>
      </w:pPr>
      <w:r w:rsidRPr="00853FE4">
        <w:rPr>
          <w:color w:val="000000" w:themeColor="text1"/>
        </w:rPr>
        <w:t xml:space="preserve">This paper extends the existing literature in three ways. First, it translates the general principles and commercial implementation patterns of data mesh into a reference architecture tailored to the scientific and regulatory context of a federal agency. The architecture accounts for constraints that are absent from the existing literature: federal security frameworks (NIST SP 800-53), statutory confidentiality requirements (the Magnuson-Stevens Act sec.402(b) and sec.403(c)), and the scientific data quality standards that govern fisheries management decisions with regulatory force. Second, it integrates NIST 800-53 control inheritance and the Risk Management Framework authorization process within a federated computational governance model, bridging the federal security compliance literature and the data mesh literature, which have developed independently. Third, it applies the data mesh framework to the fisheries </w:t>
      </w:r>
      <w:r w:rsidRPr="00853FE4">
        <w:rPr>
          <w:color w:val="000000" w:themeColor="text1"/>
        </w:rPr>
        <w:lastRenderedPageBreak/>
        <w:t>management context, a case class characterized by high regulatory complexity, distributed data production, multi-domain consumption, and stringent confidentiality requirements. The resulting reference architecture is grounded in the established data mesh literature and instantiated with sufficient specificity, including GCP landing zone design, NIST control mappings, domain decomposition criteria, and a pattern-based migration strategy, to provide actionable implementation guidance. The Electronic Monitoring data product described throughout the paper serves as a concrete, verifiable case study that demonstrates how abstract architectural principles translate to specific GCP configurations, data contracts, and governance policies in a real fisheries management workflow.</w:t>
      </w:r>
    </w:p>
    <w:p w14:paraId="602D3AAF" w14:textId="77777777" w:rsidR="007D75A8" w:rsidRPr="00853FE4" w:rsidRDefault="00000000">
      <w:pPr>
        <w:pStyle w:val="Heading1"/>
        <w:rPr>
          <w:color w:val="000000" w:themeColor="text1"/>
        </w:rPr>
      </w:pPr>
      <w:bookmarkStart w:id="19" w:name="_yxz6sx973pjm" w:colFirst="0" w:colLast="0"/>
      <w:bookmarkEnd w:id="19"/>
      <w:r w:rsidRPr="00853FE4">
        <w:rPr>
          <w:color w:val="000000" w:themeColor="text1"/>
        </w:rPr>
        <w:t>4.0 Data Mesh: Principles and Foundations</w:t>
      </w:r>
    </w:p>
    <w:p w14:paraId="42313898" w14:textId="77777777" w:rsidR="007D75A8" w:rsidRPr="00853FE4" w:rsidRDefault="00000000">
      <w:pPr>
        <w:rPr>
          <w:color w:val="000000" w:themeColor="text1"/>
        </w:rPr>
      </w:pPr>
      <w:r w:rsidRPr="00853FE4">
        <w:rPr>
          <w:color w:val="000000" w:themeColor="text1"/>
        </w:rPr>
        <w:t>The concept of data mesh was introduced by Zhamak Dehghani in 2019 as a response to the recognized limitations of centralized data architectures at scale, and subsequently formalized into four principles in 2020 and a comprehensive volume in 2022 (Dehghani, 2019, 2020, 2022). These four principles, domain ownership, data as a product, the self-serve data platform, and federated computational governance, are not independent architectural choices that can be adopted piecemeal; they form a coherent system in which each principle both depends on and enables the others. Domain ownership distributes responsibility for analytical data to the mission domains closest to its creation and meaning. Data as a product transforms that data from a passive asset into a curated, discoverable, and reliable resource. The self-serve platform provides the shared infrastructure that makes domain autonomy feasible at scale without duplication. And federated computational governance provides the coordination mechanism that ensures a collection of independently managed data products functions as a cohesive, compliant ecosystem rather than a set of incompatible silos. This section examines each principle in turn, establishing the intellectual foundations, operational implications, and relevance to the NOAA Fisheries context that will be instantiated in the reference architecture proposed in Section 5.</w:t>
      </w:r>
    </w:p>
    <w:p w14:paraId="75550412" w14:textId="77777777" w:rsidR="007D75A8" w:rsidRPr="00853FE4" w:rsidRDefault="00000000">
      <w:pPr>
        <w:pStyle w:val="Heading3"/>
        <w:rPr>
          <w:color w:val="000000" w:themeColor="text1"/>
        </w:rPr>
      </w:pPr>
      <w:bookmarkStart w:id="20" w:name="_7z5ksdsuqnum" w:colFirst="0" w:colLast="0"/>
      <w:bookmarkEnd w:id="20"/>
      <w:r w:rsidRPr="00853FE4">
        <w:rPr>
          <w:color w:val="000000" w:themeColor="text1"/>
        </w:rPr>
        <w:t>4.1 Domain Ownership</w:t>
      </w:r>
    </w:p>
    <w:p w14:paraId="598A131C" w14:textId="77777777" w:rsidR="007D75A8" w:rsidRPr="00853FE4" w:rsidRDefault="00000000">
      <w:pPr>
        <w:rPr>
          <w:color w:val="000000" w:themeColor="text1"/>
        </w:rPr>
      </w:pPr>
      <w:r w:rsidRPr="00853FE4">
        <w:rPr>
          <w:color w:val="000000" w:themeColor="text1"/>
        </w:rPr>
        <w:t>Domain ownership is the foundational principle of data mesh, and the principle upon which all others depend (Dehghani, 2022). It proposes that analytical data should be owned and managed by the mission domains that generate and are most knowledgeable about that data, rather than by a centralized data team. This distribution of ownership mirrors how successful software organizations have decomposed monolithic applications into microservices owned by cross-functional product teams, a pattern that has proven effective at sustaining organizational agility as complexity and scale increase (Newman, 2015).</w:t>
      </w:r>
    </w:p>
    <w:p w14:paraId="210BFAA8" w14:textId="77777777" w:rsidR="007D75A8" w:rsidRPr="00853FE4" w:rsidRDefault="007D75A8">
      <w:pPr>
        <w:pBdr>
          <w:top w:val="nil"/>
          <w:left w:val="nil"/>
          <w:bottom w:val="nil"/>
          <w:right w:val="nil"/>
          <w:between w:val="nil"/>
        </w:pBdr>
        <w:rPr>
          <w:color w:val="000000" w:themeColor="text1"/>
        </w:rPr>
      </w:pPr>
    </w:p>
    <w:p w14:paraId="639BBE92" w14:textId="77777777" w:rsidR="007D75A8" w:rsidRPr="00853FE4" w:rsidRDefault="00000000">
      <w:pPr>
        <w:rPr>
          <w:color w:val="000000" w:themeColor="text1"/>
        </w:rPr>
      </w:pPr>
      <w:r w:rsidRPr="00853FE4">
        <w:rPr>
          <w:color w:val="000000" w:themeColor="text1"/>
        </w:rPr>
        <w:lastRenderedPageBreak/>
        <w:t>The intellectual foundations of domain ownership were examined in Section 3.4: domain-driven design's bounded contexts (Evans, 2003; Steinegger et al., 2017), Conway's Law (Conway, 1968), and Parnas's decomposition criteria (Parnas, 1971). Together, they establish that the correct unit of decomposition is the mission domain, and that isolating domain-specific change behind stable interfaces preserves modularity. This subsection extends those foundations into the operational domain: what domain ownership means for team composition, accountability, and lifecycle management in practice.</w:t>
      </w:r>
    </w:p>
    <w:p w14:paraId="68EAC213" w14:textId="77777777" w:rsidR="007D75A8" w:rsidRPr="00853FE4" w:rsidRDefault="007D75A8">
      <w:pPr>
        <w:pBdr>
          <w:top w:val="nil"/>
          <w:left w:val="nil"/>
          <w:bottom w:val="nil"/>
          <w:right w:val="nil"/>
          <w:between w:val="nil"/>
        </w:pBdr>
        <w:rPr>
          <w:color w:val="000000" w:themeColor="text1"/>
        </w:rPr>
      </w:pPr>
    </w:p>
    <w:p w14:paraId="11244758" w14:textId="77777777" w:rsidR="007D75A8" w:rsidRPr="00853FE4" w:rsidRDefault="00000000">
      <w:pPr>
        <w:rPr>
          <w:color w:val="000000" w:themeColor="text1"/>
        </w:rPr>
      </w:pPr>
      <w:r w:rsidRPr="00853FE4">
        <w:rPr>
          <w:color w:val="000000" w:themeColor="text1"/>
        </w:rPr>
        <w:t>Operationally, domain ownership means that cross-functional domain teams are responsible for both the operational systems that generate data and the analytical data products derived from that data. This is a departure from the traditional separation where operational systems are owned by mission units and analytical systems are owned by a centralized data organization. In the data mesh model, a single domain team, comprising domain experts, data engineers, and product managers, owns the full lifecycle of their data products, from definition and collection through quality assurance, publication, and deprecation. This colocation of expertise and accountability eliminates the handoff overhead and knowledge loss that occur when domain experts must communicate their requirements to a separate data team that lacks their contextual understanding (Dehghani, 2022).</w:t>
      </w:r>
    </w:p>
    <w:p w14:paraId="37D1B8C9" w14:textId="77777777" w:rsidR="007D75A8" w:rsidRPr="00853FE4" w:rsidRDefault="007D75A8">
      <w:pPr>
        <w:pBdr>
          <w:top w:val="nil"/>
          <w:left w:val="nil"/>
          <w:bottom w:val="nil"/>
          <w:right w:val="nil"/>
          <w:between w:val="nil"/>
        </w:pBdr>
        <w:rPr>
          <w:color w:val="000000" w:themeColor="text1"/>
        </w:rPr>
      </w:pPr>
    </w:p>
    <w:p w14:paraId="03AACB3E" w14:textId="77777777" w:rsidR="007D75A8" w:rsidRPr="00853FE4" w:rsidRDefault="00000000">
      <w:pPr>
        <w:rPr>
          <w:color w:val="000000" w:themeColor="text1"/>
        </w:rPr>
      </w:pPr>
      <w:r w:rsidRPr="00853FE4">
        <w:rPr>
          <w:color w:val="000000" w:themeColor="text1"/>
        </w:rPr>
        <w:t>The principle of domain ownership does not prescribe a specific organizational chart; rather, it provides a decomposition strategy for identifying appropriate domain boundaries. The boundaries themselves depend on the specific organizational context: they may align with mission capabilities, product lines, regulatory divisions, or scientific programs. The critical requirement is that each domain boundary represents a cohesive area of mission activity with clear accountability, distinct expertise, and a bounded data semantics. In subsequent sections of this paper, we propose a domain decomposition for NOAA Fisheries based on these criteria.</w:t>
      </w:r>
    </w:p>
    <w:p w14:paraId="4A43C34B" w14:textId="77777777" w:rsidR="007D75A8" w:rsidRPr="00853FE4" w:rsidRDefault="007D75A8">
      <w:pPr>
        <w:pBdr>
          <w:top w:val="nil"/>
          <w:left w:val="nil"/>
          <w:bottom w:val="nil"/>
          <w:right w:val="nil"/>
          <w:between w:val="nil"/>
        </w:pBdr>
        <w:rPr>
          <w:color w:val="000000" w:themeColor="text1"/>
        </w:rPr>
      </w:pPr>
    </w:p>
    <w:p w14:paraId="24A7EFCF" w14:textId="77777777" w:rsidR="007D75A8" w:rsidRPr="00853FE4" w:rsidRDefault="00000000">
      <w:pPr>
        <w:rPr>
          <w:color w:val="000000" w:themeColor="text1"/>
        </w:rPr>
      </w:pPr>
      <w:r w:rsidRPr="00853FE4">
        <w:rPr>
          <w:color w:val="000000" w:themeColor="text1"/>
        </w:rPr>
        <w:t xml:space="preserve">For NOAA Fisheries, the principle of domain ownership is not an abstract ideal but a practical recognition of how the agency already operates. The eight Regional Fishery Management Councils, six regional offices, and six science centers each manage distinct data assets, stock assessment time series, observer trip reports, vessel monitoring positions, and protected species interaction data, that reflect bounded areas of scientific expertise and operational responsibility (Wallace &amp; Fletcher, 2000). The challenge identified by the current architectural analysis is not that these domains lack autonomy; rather, they already operate as de facto data owners without the formal accountability structures, standardized interfaces, and platform support that domain ownership provides. By formalizing domain ownership, assigning a Data Product Owner to each domain, providing self-serve infrastructure, and establishing data contracts between producers </w:t>
      </w:r>
      <w:r w:rsidRPr="00853FE4">
        <w:rPr>
          <w:color w:val="000000" w:themeColor="text1"/>
        </w:rPr>
        <w:lastRenderedPageBreak/>
        <w:t>and consumers, NOAA Fisheries can transform its current fragmentation from a liability into an architectural strength. The domain decomposition proposed in Section 5.1 builds directly on these natural organizational boundaries.</w:t>
      </w:r>
    </w:p>
    <w:p w14:paraId="59A7B0B0" w14:textId="77777777" w:rsidR="007D75A8" w:rsidRPr="00853FE4" w:rsidRDefault="00000000">
      <w:pPr>
        <w:pStyle w:val="Heading3"/>
        <w:rPr>
          <w:color w:val="000000" w:themeColor="text1"/>
        </w:rPr>
      </w:pPr>
      <w:bookmarkStart w:id="21" w:name="_fuouj6nj4nbd" w:colFirst="0" w:colLast="0"/>
      <w:bookmarkEnd w:id="21"/>
      <w:r w:rsidRPr="00853FE4">
        <w:rPr>
          <w:color w:val="000000" w:themeColor="text1"/>
        </w:rPr>
        <w:t>4.2 Data as a Product</w:t>
      </w:r>
    </w:p>
    <w:p w14:paraId="11323DA3" w14:textId="77777777" w:rsidR="007D75A8" w:rsidRPr="00853FE4" w:rsidRDefault="00000000">
      <w:pPr>
        <w:rPr>
          <w:color w:val="000000" w:themeColor="text1"/>
        </w:rPr>
      </w:pPr>
      <w:r w:rsidRPr="00853FE4">
        <w:rPr>
          <w:color w:val="000000" w:themeColor="text1"/>
        </w:rPr>
        <w:t>Where domain ownership establishes who is responsible for data, the principle of data as a product defines what that responsibility entails. Data as a product shifts the organizational orientation from data as a passive asset, something collected, stored, and occasionally extracted, to data as an actively managed product with defined consumers, quality guarantees, and a lifecycle (Dehghani, 2022). This distinction is fundamental: assets are inventoried and maintained; products are designed, improved, and supported in response to consumer needs.</w:t>
      </w:r>
    </w:p>
    <w:p w14:paraId="4F7346B1" w14:textId="77777777" w:rsidR="007D75A8" w:rsidRPr="00853FE4" w:rsidRDefault="007D75A8">
      <w:pPr>
        <w:pBdr>
          <w:top w:val="nil"/>
          <w:left w:val="nil"/>
          <w:bottom w:val="nil"/>
          <w:right w:val="nil"/>
          <w:between w:val="nil"/>
        </w:pBdr>
        <w:rPr>
          <w:color w:val="000000" w:themeColor="text1"/>
        </w:rPr>
      </w:pPr>
    </w:p>
    <w:p w14:paraId="146BE226" w14:textId="77777777" w:rsidR="007D75A8" w:rsidRPr="00853FE4" w:rsidRDefault="00000000">
      <w:pPr>
        <w:rPr>
          <w:color w:val="000000" w:themeColor="text1"/>
        </w:rPr>
      </w:pPr>
      <w:r w:rsidRPr="00853FE4">
        <w:rPr>
          <w:color w:val="000000" w:themeColor="text1"/>
        </w:rPr>
        <w:t>A data product in the mesh is the atomic unit of analytical data sharing. It is a self-contained, independently valuable collection of data that is discoverable, addressable, trustworthy, self-describing, interoperable, and secure (Dehghani, 2022). Each data product bundles the data itself with the metadata necessary to understand and use it: schema documentation, provenance and lineage information, quality metrics, access mechanisms, and service level objectives (SLOs). Critically, a data product is not a dataset dumped into a repository with a README file; it is a curated, versioned, and governed offering that its owning domain treats as a product with a long-term roadmap (Perrin &amp; Broda, 2024).</w:t>
      </w:r>
    </w:p>
    <w:p w14:paraId="09CF8A39" w14:textId="77777777" w:rsidR="007D75A8" w:rsidRPr="00853FE4" w:rsidRDefault="007D75A8">
      <w:pPr>
        <w:pBdr>
          <w:top w:val="nil"/>
          <w:left w:val="nil"/>
          <w:bottom w:val="nil"/>
          <w:right w:val="nil"/>
          <w:between w:val="nil"/>
        </w:pBdr>
        <w:rPr>
          <w:color w:val="000000" w:themeColor="text1"/>
        </w:rPr>
      </w:pPr>
    </w:p>
    <w:p w14:paraId="79F66BF1" w14:textId="77777777" w:rsidR="007D75A8" w:rsidRPr="00853FE4" w:rsidRDefault="00000000">
      <w:pPr>
        <w:rPr>
          <w:color w:val="000000" w:themeColor="text1"/>
        </w:rPr>
      </w:pPr>
      <w:r w:rsidRPr="00853FE4">
        <w:rPr>
          <w:color w:val="000000" w:themeColor="text1"/>
        </w:rPr>
        <w:t>The shift from data pipelines to data products represents a significant conceptual reorientation. In traditional centralized architectures, data moves through a pipeline, extracted from source systems, transformed through intermediary stages, and loaded into a warehouse or lake, with each stage owned by different teams and no single person accountable for the end-to-end quality of what consumers receive. In the data mesh model, the domain team owns the data product from ingestion through publication, and the pipeline is an internal implementation detail of the product, not the organizational unit of ownership (Perrin &amp; Broda, 2024). This aligns accountability with expertise: the people who understand the data best are responsible for ensuring its quality and fitness for purpose.</w:t>
      </w:r>
    </w:p>
    <w:p w14:paraId="7D980870" w14:textId="77777777" w:rsidR="007D75A8" w:rsidRPr="00853FE4" w:rsidRDefault="007D75A8">
      <w:pPr>
        <w:pBdr>
          <w:top w:val="nil"/>
          <w:left w:val="nil"/>
          <w:bottom w:val="nil"/>
          <w:right w:val="nil"/>
          <w:between w:val="nil"/>
        </w:pBdr>
        <w:rPr>
          <w:color w:val="000000" w:themeColor="text1"/>
        </w:rPr>
      </w:pPr>
    </w:p>
    <w:p w14:paraId="4C88B5AF" w14:textId="77777777" w:rsidR="007D75A8" w:rsidRPr="00853FE4" w:rsidRDefault="00000000">
      <w:pPr>
        <w:rPr>
          <w:color w:val="000000" w:themeColor="text1"/>
        </w:rPr>
      </w:pPr>
      <w:r w:rsidRPr="00853FE4">
        <w:rPr>
          <w:color w:val="000000" w:themeColor="text1"/>
        </w:rPr>
        <w:t xml:space="preserve">Data contracts formalize the relationship between producers and consumers. A data contract specifies the schema, quality guarantees (including completeness, accuracy, timeliness SLOs), versioning policy, access requirements, and support expectations for a data product (Perrin &amp; Broda, 2024). Contracts provide the stable interface that Parnas (1971) identified as essential to modular decomposition: consumers can rely on the contract without depending on the producer's internal implementation, and producers can refactor their systems without disrupting consumers </w:t>
      </w:r>
      <w:r w:rsidRPr="00853FE4">
        <w:rPr>
          <w:color w:val="000000" w:themeColor="text1"/>
        </w:rPr>
        <w:lastRenderedPageBreak/>
        <w:t>as long as the contract is honored. When a consumer in the Stock Assessment domain relies on an EM data product, for example, the contract guarantees that certain fields will be present, that species identifications will meet a defined accuracy threshold, and that data will be available within a specified timeframe after trip completion. The consumer need not understand how EM data is collected, processed, or validated, only what the contract promises.</w:t>
      </w:r>
    </w:p>
    <w:p w14:paraId="33AEE44D" w14:textId="77777777" w:rsidR="007D75A8" w:rsidRPr="00853FE4" w:rsidRDefault="007D75A8">
      <w:pPr>
        <w:pBdr>
          <w:top w:val="nil"/>
          <w:left w:val="nil"/>
          <w:bottom w:val="nil"/>
          <w:right w:val="nil"/>
          <w:between w:val="nil"/>
        </w:pBdr>
        <w:rPr>
          <w:color w:val="000000" w:themeColor="text1"/>
        </w:rPr>
      </w:pPr>
    </w:p>
    <w:p w14:paraId="57791CC3" w14:textId="77777777" w:rsidR="007D75A8" w:rsidRPr="00853FE4" w:rsidRDefault="00000000">
      <w:pPr>
        <w:rPr>
          <w:color w:val="000000" w:themeColor="text1"/>
        </w:rPr>
      </w:pPr>
      <w:r w:rsidRPr="00853FE4">
        <w:rPr>
          <w:color w:val="000000" w:themeColor="text1"/>
        </w:rPr>
        <w:t>The Minimum Viable Data Product (MVDP) concept, analogous to the software engineering minimum viable product, provides a practical approach to incremental delivery (Perrin &amp; Broda, 2024). Rather than attempting to build a comprehensive, all-encompassing data product from the outset, a domain team identifies the core dataset that satisfies the most critical consumer need, documents it minimally but adequately, and publishes it. Subsequent iterations expand the product based on consumer feedback: adding additional fields, improving quality metrics, supporting new access patterns, or integrating additional data sources. This iterative approach delivers value early while managing complexity, and it aligns with the broader data mesh philosophy of evolutionary growth over big-bang transformation.</w:t>
      </w:r>
    </w:p>
    <w:p w14:paraId="5C5146EB" w14:textId="77777777" w:rsidR="007D75A8" w:rsidRPr="00853FE4" w:rsidRDefault="007D75A8">
      <w:pPr>
        <w:pBdr>
          <w:top w:val="nil"/>
          <w:left w:val="nil"/>
          <w:bottom w:val="nil"/>
          <w:right w:val="nil"/>
          <w:between w:val="nil"/>
        </w:pBdr>
        <w:rPr>
          <w:color w:val="000000" w:themeColor="text1"/>
        </w:rPr>
      </w:pPr>
    </w:p>
    <w:p w14:paraId="351A9CA8" w14:textId="77777777" w:rsidR="007D75A8" w:rsidRPr="00853FE4" w:rsidRDefault="00000000">
      <w:pPr>
        <w:rPr>
          <w:color w:val="000000" w:themeColor="text1"/>
        </w:rPr>
      </w:pPr>
      <w:r w:rsidRPr="00853FE4">
        <w:rPr>
          <w:color w:val="000000" w:themeColor="text1"/>
        </w:rPr>
        <w:t>For NOAA Fisheries, the data-as-a-product principle offers a direct response to a persistent organizational frustration: the gap between domain scientists who know the data intimately but lack the platform and authority to publish it as a curated resource, and the analysts, modelers, and managers who need that data but cannot discover it, assess its quality, or access it efficiently. In the current state, a stock assessment scientist who needs observer data, catch composition, biological samples, bycatch statistics, must request extracts from the observer program, often through informal channels with no quality guarantees and unclear lineage. Under the data-as-a-product model, the Observer Program domain would publish observer data products governed by explicit contracts: the EM data product, for example, would declare SLOs for species identification accuracy and data timeliness, would be discoverable through a shared catalog, and would be accessible through standard interfaces. This transformation shifts institutional data sharing from ad-hoc extraction to contractual reliability. The EM data product, introduced fully in Section 5.2, serves as the running illustrative example of how NOAA Fisheries data products are specified, contracted, and consumed.</w:t>
      </w:r>
    </w:p>
    <w:p w14:paraId="58F8B976" w14:textId="77777777" w:rsidR="007D75A8" w:rsidRPr="00853FE4" w:rsidRDefault="00000000">
      <w:pPr>
        <w:pStyle w:val="Heading3"/>
        <w:rPr>
          <w:color w:val="000000" w:themeColor="text1"/>
        </w:rPr>
      </w:pPr>
      <w:bookmarkStart w:id="22" w:name="_pvj0592pszu9" w:colFirst="0" w:colLast="0"/>
      <w:bookmarkEnd w:id="22"/>
      <w:r w:rsidRPr="00853FE4">
        <w:rPr>
          <w:color w:val="000000" w:themeColor="text1"/>
        </w:rPr>
        <w:t>4.3 The Self-Serve Data Platform</w:t>
      </w:r>
    </w:p>
    <w:p w14:paraId="58EFDB4D" w14:textId="77777777" w:rsidR="007D75A8" w:rsidRPr="00853FE4" w:rsidRDefault="00000000">
      <w:pPr>
        <w:rPr>
          <w:color w:val="000000" w:themeColor="text1"/>
        </w:rPr>
      </w:pPr>
      <w:r w:rsidRPr="00853FE4">
        <w:rPr>
          <w:color w:val="000000" w:themeColor="text1"/>
        </w:rPr>
        <w:t xml:space="preserve">The third principle of data mesh, the self-serve data platform, addresses a tension inherent in the first two principles. Domain ownership and data as a product empower domain teams to create and manage their own data products, but without shared infrastructure, each domain would independently provision storage, compute, security controls, and monitoring for every data product. At scale, this duplication would be prohibitively expensive and would produce </w:t>
      </w:r>
      <w:r w:rsidRPr="00853FE4">
        <w:rPr>
          <w:color w:val="000000" w:themeColor="text1"/>
        </w:rPr>
        <w:lastRenderedPageBreak/>
        <w:t>inconsistent implementations that undermine the interoperability that the mesh is designed to achieve (Dehghani, 2022). The self-serve platform resolves this tension by providing a common infrastructure foundation that domain teams use to build, publish, and operate their data products, reducing the cognitive and operational burden on domain teams while ensuring consistency across the mesh.</w:t>
      </w:r>
    </w:p>
    <w:p w14:paraId="04BD0759" w14:textId="77777777" w:rsidR="007D75A8" w:rsidRPr="00853FE4" w:rsidRDefault="007D75A8">
      <w:pPr>
        <w:pBdr>
          <w:top w:val="nil"/>
          <w:left w:val="nil"/>
          <w:bottom w:val="nil"/>
          <w:right w:val="nil"/>
          <w:between w:val="nil"/>
        </w:pBdr>
        <w:rPr>
          <w:color w:val="000000" w:themeColor="text1"/>
        </w:rPr>
      </w:pPr>
    </w:p>
    <w:p w14:paraId="62CF83CC" w14:textId="77777777" w:rsidR="007D75A8" w:rsidRPr="00853FE4" w:rsidRDefault="00000000">
      <w:pPr>
        <w:rPr>
          <w:color w:val="000000" w:themeColor="text1"/>
        </w:rPr>
      </w:pPr>
      <w:r w:rsidRPr="00853FE4">
        <w:rPr>
          <w:color w:val="000000" w:themeColor="text1"/>
        </w:rPr>
        <w:t>Perrin and Broda (2024) describe the platform through the lens of platform-as-product: the platform team treats the domain teams as its customers, and the platform itself is managed as a product with an evolving roadmap, user feedback loops, and adoption metrics. This orientation is critical. A platform that is built in isolation from its users, designed by a centralized infrastructure team and mandated to domain teams, will fail to meet their actual needs and will be resisted or bypassed. A platform built as a product, in contrast, is shaped by the domain teams' experience: what slows them down, what they find frustrating, what capabilities they need to deliver high-quality data products efficiently. The platform team prioritizes its backlog based on this feedback, ships improvements incrementally, and measures its success by the velocity and satisfaction of its users.</w:t>
      </w:r>
    </w:p>
    <w:p w14:paraId="4E00183A" w14:textId="77777777" w:rsidR="007D75A8" w:rsidRPr="00853FE4" w:rsidRDefault="007D75A8">
      <w:pPr>
        <w:pBdr>
          <w:top w:val="nil"/>
          <w:left w:val="nil"/>
          <w:bottom w:val="nil"/>
          <w:right w:val="nil"/>
          <w:between w:val="nil"/>
        </w:pBdr>
        <w:rPr>
          <w:color w:val="000000" w:themeColor="text1"/>
        </w:rPr>
      </w:pPr>
    </w:p>
    <w:p w14:paraId="74AE5138" w14:textId="77777777" w:rsidR="007D75A8" w:rsidRPr="00853FE4" w:rsidRDefault="00000000">
      <w:pPr>
        <w:rPr>
          <w:color w:val="000000" w:themeColor="text1"/>
        </w:rPr>
      </w:pPr>
      <w:r w:rsidRPr="00853FE4">
        <w:rPr>
          <w:color w:val="000000" w:themeColor="text1"/>
        </w:rPr>
        <w:t>The self-serve platform provides three categories of capability (Perrin &amp; Broda, 2024). Foundation services include compute and storage infrastructure, identity and access management, network connectivity, and monitoring and logging. Data-specific services include data storage engines, processing frameworks (batch and stream), data catalogs for discovery, data quality validation tools, and standardized data access APIs. Developer experience services include templates and blueprints that accelerate data product creation, CI/CD pipelines for automated testing and deployment, sandbox environments for experimentation, and documentation and training resources.</w:t>
      </w:r>
    </w:p>
    <w:p w14:paraId="5E6EBD9D" w14:textId="77777777" w:rsidR="007D75A8" w:rsidRPr="00853FE4" w:rsidRDefault="007D75A8">
      <w:pPr>
        <w:pBdr>
          <w:top w:val="nil"/>
          <w:left w:val="nil"/>
          <w:bottom w:val="nil"/>
          <w:right w:val="nil"/>
          <w:between w:val="nil"/>
        </w:pBdr>
        <w:rPr>
          <w:color w:val="000000" w:themeColor="text1"/>
        </w:rPr>
      </w:pPr>
    </w:p>
    <w:p w14:paraId="596D1C01" w14:textId="77777777" w:rsidR="007D75A8" w:rsidRPr="00853FE4" w:rsidRDefault="00000000">
      <w:pPr>
        <w:rPr>
          <w:color w:val="000000" w:themeColor="text1"/>
        </w:rPr>
      </w:pPr>
      <w:r w:rsidRPr="00853FE4">
        <w:rPr>
          <w:color w:val="000000" w:themeColor="text1"/>
        </w:rPr>
        <w:t>A defining characteristic of the self-serve platform is that it embodies governance policies through infrastructure. Rather than relying on domain teams to interpret and implement enterprise policies separately, a recipe for inconsistent compliance, the platform provides pre-configured templates and services that automatically enforce required controls. These "paved roads" (Perrin &amp; Broda, 2024) make compliant behavior the path of least resistance: a domain team that creates a data product using a platform template automatically inherits the correct IAM bindings, encryption configuration, logging setup, and quality validation rules. The team retains autonomy, they choose what data the product contains, what schema it uses, and how it is documented, but the platform ensures that every data product published meets enterprise standards without requiring the domain team to become experts in security, networking, or compliance.</w:t>
      </w:r>
    </w:p>
    <w:p w14:paraId="49D848C0" w14:textId="77777777" w:rsidR="007D75A8" w:rsidRPr="00853FE4" w:rsidRDefault="007D75A8">
      <w:pPr>
        <w:pBdr>
          <w:top w:val="nil"/>
          <w:left w:val="nil"/>
          <w:bottom w:val="nil"/>
          <w:right w:val="nil"/>
          <w:between w:val="nil"/>
        </w:pBdr>
        <w:rPr>
          <w:color w:val="000000" w:themeColor="text1"/>
        </w:rPr>
      </w:pPr>
    </w:p>
    <w:p w14:paraId="096BC74B" w14:textId="77777777" w:rsidR="007D75A8" w:rsidRPr="00853FE4" w:rsidRDefault="00000000">
      <w:pPr>
        <w:rPr>
          <w:color w:val="000000" w:themeColor="text1"/>
        </w:rPr>
      </w:pPr>
      <w:r w:rsidRPr="00853FE4">
        <w:rPr>
          <w:color w:val="000000" w:themeColor="text1"/>
        </w:rPr>
        <w:t>The NIST Cloud Computing Reference Architecture (Liu et al., 2011) provides a useful conceptual model for understanding the platform's role. In that framework, a cloud broker sits between cloud consumers and cloud providers, adding value through service intermediation, aggregation, and arbitrage. The self-serve data platform functions as an internal cloud broker: it intermediates between domain teams (consumers) and cloud infrastructure (providers) by enhancing raw cloud services with organization-specific configurations and abstractions; it aggregates multiple cloud services into integrated data product creation workflows; and it selects the optimal service for each workload type, BigQuery for SQL analytics, Cloud Storage for archival video footage, Cloud Run for event-driven processing, without domain teams needing to evaluate these tradeoffs themselves. This brokerage reduces the expertise required to operate in the mesh, enabling domain scientists and program managers to focus on their mission work rather than infrastructure management.</w:t>
      </w:r>
    </w:p>
    <w:p w14:paraId="06C93E0C" w14:textId="77777777" w:rsidR="007D75A8" w:rsidRPr="00853FE4" w:rsidRDefault="007D75A8">
      <w:pPr>
        <w:pBdr>
          <w:top w:val="nil"/>
          <w:left w:val="nil"/>
          <w:bottom w:val="nil"/>
          <w:right w:val="nil"/>
          <w:between w:val="nil"/>
        </w:pBdr>
        <w:rPr>
          <w:color w:val="000000" w:themeColor="text1"/>
        </w:rPr>
      </w:pPr>
    </w:p>
    <w:p w14:paraId="715E15DE" w14:textId="77777777" w:rsidR="007D75A8" w:rsidRPr="00853FE4" w:rsidRDefault="00000000">
      <w:pPr>
        <w:rPr>
          <w:color w:val="000000" w:themeColor="text1"/>
        </w:rPr>
      </w:pPr>
      <w:r w:rsidRPr="00853FE4">
        <w:rPr>
          <w:color w:val="000000" w:themeColor="text1"/>
        </w:rPr>
        <w:t>For NOAA Fisheries, the self-serve platform is a prerequisite for scaling domain ownership beyond a pilot. Without a shared platform, a domain such as the EM program would need to independently provision its own compute, storage, networking, IAM, logging, monitoring, and compliance controls, a substantial engineering burden that would delay data product delivery and likely produce inconsistent security postures across domains. With a GCP-based self-serve platform, described fully in Section 5.3, the EM domain team creates a new data product using a platform-provided template that automatically provisions a BigQuery dataset with the correct schema, applies IAM policies for authorized consumers, configures audit logging, and registers the product in the Data Catalog. The EM team focuses its effort on what differentiates its product: collecting and validating video footage and sensor data, defining species identification quality rules, and establishing SLOs that meet consumer needs. The platform handles the infrastructure common to all data products. This separation of concerns, domain-specific logic in the domain, shared infrastructure in the platform, is what enables the mesh to scale without duplication and inconsistency.</w:t>
      </w:r>
    </w:p>
    <w:p w14:paraId="4179D8BD" w14:textId="77777777" w:rsidR="007D75A8" w:rsidRPr="00853FE4" w:rsidRDefault="00000000">
      <w:pPr>
        <w:pStyle w:val="Heading3"/>
        <w:rPr>
          <w:color w:val="000000" w:themeColor="text1"/>
        </w:rPr>
      </w:pPr>
      <w:bookmarkStart w:id="23" w:name="_r2lep342lp8r" w:colFirst="0" w:colLast="0"/>
      <w:bookmarkEnd w:id="23"/>
      <w:r w:rsidRPr="00853FE4">
        <w:rPr>
          <w:color w:val="000000" w:themeColor="text1"/>
        </w:rPr>
        <w:t>4.4 Federated Computational Governance</w:t>
      </w:r>
    </w:p>
    <w:p w14:paraId="7A7CA47F" w14:textId="77777777" w:rsidR="007D75A8" w:rsidRPr="00853FE4" w:rsidRDefault="00000000">
      <w:pPr>
        <w:rPr>
          <w:color w:val="000000" w:themeColor="text1"/>
        </w:rPr>
      </w:pPr>
      <w:r w:rsidRPr="00853FE4">
        <w:rPr>
          <w:color w:val="000000" w:themeColor="text1"/>
        </w:rPr>
        <w:t xml:space="preserve">The fourth principle of data mesh, federated computational governance, addresses the most significant risk of decentralization: that without coordination, domain autonomy will produce not a coherent mesh but a collection of incompatible data products governed by inconsistent standards, duplicative controls, and conflicting policies. The key insight of federated governance is that governance need not be a centralized gatekeeping function; it can be distributed across the organization and automated through computational means, combining the consistency of </w:t>
      </w:r>
      <w:r w:rsidRPr="00853FE4">
        <w:rPr>
          <w:color w:val="000000" w:themeColor="text1"/>
        </w:rPr>
        <w:lastRenderedPageBreak/>
        <w:t>centrally defined policies with the responsiveness of locally executed enforcement (Dehghani, 2022).</w:t>
      </w:r>
    </w:p>
    <w:p w14:paraId="1ABF942D" w14:textId="77777777" w:rsidR="007D75A8" w:rsidRPr="00853FE4" w:rsidRDefault="007D75A8">
      <w:pPr>
        <w:pBdr>
          <w:top w:val="nil"/>
          <w:left w:val="nil"/>
          <w:bottom w:val="nil"/>
          <w:right w:val="nil"/>
          <w:between w:val="nil"/>
        </w:pBdr>
        <w:rPr>
          <w:color w:val="000000" w:themeColor="text1"/>
        </w:rPr>
      </w:pPr>
    </w:p>
    <w:p w14:paraId="42A43560" w14:textId="77777777" w:rsidR="007D75A8" w:rsidRPr="00853FE4" w:rsidRDefault="00000000">
      <w:pPr>
        <w:rPr>
          <w:color w:val="000000" w:themeColor="text1"/>
        </w:rPr>
      </w:pPr>
      <w:r w:rsidRPr="00853FE4">
        <w:rPr>
          <w:color w:val="000000" w:themeColor="text1"/>
        </w:rPr>
        <w:t>Traditional centralized governance operates as a manual gatekeeping process: a governance body reviews proposed data changes, approves or rejects them, and relies on audits and spot checks to verify compliance. This model breaks down at scale because it creates a bottleneck in which every domain must wait for central approval, and it produces governance theater rather than governance assurance, with policies documented in spreadsheets and compliance verified through periodic self-assessments rather than real-time enforcement (Dehghani, 2022). Absent governance, at the other extreme, produces chaos: each domain defines its own standards, consumers cannot trust the quality or provenance of cross-domain data, and enterprise compliance with legal and regulatory requirements becomes impossible to demonstrate. Federated computational governance charts a middle path: a governance council defines enterprise-wide policies, but those policies are encoded as executable rules within the self-serve platform and enforced automatically as data products are created, modified, and accessed (Perrin &amp; Broda, 2024).</w:t>
      </w:r>
    </w:p>
    <w:p w14:paraId="30A0721A" w14:textId="77777777" w:rsidR="007D75A8" w:rsidRPr="00853FE4" w:rsidRDefault="007D75A8">
      <w:pPr>
        <w:pBdr>
          <w:top w:val="nil"/>
          <w:left w:val="nil"/>
          <w:bottom w:val="nil"/>
          <w:right w:val="nil"/>
          <w:between w:val="nil"/>
        </w:pBdr>
        <w:rPr>
          <w:color w:val="000000" w:themeColor="text1"/>
        </w:rPr>
      </w:pPr>
    </w:p>
    <w:p w14:paraId="16461B33" w14:textId="77777777" w:rsidR="007D75A8" w:rsidRPr="00853FE4" w:rsidRDefault="00000000">
      <w:pPr>
        <w:rPr>
          <w:color w:val="000000" w:themeColor="text1"/>
        </w:rPr>
      </w:pPr>
      <w:r w:rsidRPr="00853FE4">
        <w:rPr>
          <w:color w:val="000000" w:themeColor="text1"/>
        </w:rPr>
        <w:t>The governance framework operates across three tiers. Global policies apply to all data products regardless of domain and address enterprise-wide concerns: data classification standards, encryption requirements, audit logging mandates, retention schedules, and regulatory compliance obligations. These are defined by a governance council comprising representatives from scientific, legal, security, and operational stakeholders. Domain policies refine global policies for specific domain contexts: the EM domain, for instance, may define stricter access controls for confidential vessel-level data under the Magnuson-Stevens Act sec.402(b) than what global policy requires for public-facing data products. Data product policies are defined by individual Data Product Owners for their specific products: schema definitions, quality SLOs, access permission specifications, and versioning rules. Each tier operates within the constraints of the tier above, and conflicts are resolved through the governance council (Perrin &amp; Broda, 2024).</w:t>
      </w:r>
    </w:p>
    <w:p w14:paraId="1A8E3F82" w14:textId="77777777" w:rsidR="007D75A8" w:rsidRPr="00853FE4" w:rsidRDefault="007D75A8">
      <w:pPr>
        <w:pBdr>
          <w:top w:val="nil"/>
          <w:left w:val="nil"/>
          <w:bottom w:val="nil"/>
          <w:right w:val="nil"/>
          <w:between w:val="nil"/>
        </w:pBdr>
        <w:rPr>
          <w:color w:val="000000" w:themeColor="text1"/>
        </w:rPr>
      </w:pPr>
    </w:p>
    <w:p w14:paraId="5E2718BE" w14:textId="77777777" w:rsidR="007D75A8" w:rsidRPr="00853FE4" w:rsidRDefault="00000000">
      <w:pPr>
        <w:rPr>
          <w:color w:val="000000" w:themeColor="text1"/>
        </w:rPr>
      </w:pPr>
      <w:r w:rsidRPr="00853FE4">
        <w:rPr>
          <w:color w:val="000000" w:themeColor="text1"/>
        </w:rPr>
        <w:t xml:space="preserve">Computational governance transforms policies from static documents into automated enforcement mechanisms. Rather than a governance manual that states "all data products must encrypt data at rest," a computational governance policy is an organization policy constraint that prevents the creation of any BigQuery dataset or Cloud Storage bucket without encryption enabled. Rather than a policy that states "access to confidential data must be logged," the platform automatically enables Data Access Audit Logs for all datasets tagged with a confidential classification. Rather than a quarterly compliance questionnaire asking domain teams whether they have reviewed access permissions, Cloud IAM role-based access control </w:t>
      </w:r>
      <w:r w:rsidRPr="00853FE4">
        <w:rPr>
          <w:color w:val="000000" w:themeColor="text1"/>
        </w:rPr>
        <w:lastRenderedPageBreak/>
        <w:t>ensures that permissions are enforced at the point of access, and automated reporting provides continuous visibility into who accessed what data and when (Joint Task Force, 2020). This shift from documentation to automation reduces both the burden on domain teams and the risk of non-compliance.</w:t>
      </w:r>
    </w:p>
    <w:p w14:paraId="1CED2BE9" w14:textId="77777777" w:rsidR="007D75A8" w:rsidRPr="00853FE4" w:rsidRDefault="007D75A8">
      <w:pPr>
        <w:pBdr>
          <w:top w:val="nil"/>
          <w:left w:val="nil"/>
          <w:bottom w:val="nil"/>
          <w:right w:val="nil"/>
          <w:between w:val="nil"/>
        </w:pBdr>
        <w:rPr>
          <w:color w:val="000000" w:themeColor="text1"/>
        </w:rPr>
      </w:pPr>
    </w:p>
    <w:p w14:paraId="51BA38EC" w14:textId="77777777" w:rsidR="007D75A8" w:rsidRPr="00853FE4" w:rsidRDefault="00000000">
      <w:pPr>
        <w:rPr>
          <w:color w:val="000000" w:themeColor="text1"/>
        </w:rPr>
      </w:pPr>
      <w:r w:rsidRPr="00853FE4">
        <w:rPr>
          <w:color w:val="000000" w:themeColor="text1"/>
        </w:rPr>
        <w:t>For NOAA Fisheries, federated computational governance is not merely an architectural preference but a regulatory necessity. The agency operates under multiple overlapping governance mandates: NIST SP 800-53 security controls, MSA sec.402(b) and sec.403(c) confidentiality requirements, federal Evidence Act data management obligations, and OPEN Government Data Act public access mandates. In the current fragmented architecture, compliance with these mandates depends on manual processes that are inconsistent across regions and programs, making enterprise-wide assurance difficult to achieve. Under federated computational governance, described fully in Section 5.4, these mandates are encoded as platform-enforced policies. An EM data product containing vessel-level video footage and observer-identified catch data automatically inherits the correct access controls, stock assessment scientists see aggregated catch composition data, enforcement agents see vessel-specific records, public researchers see de-identified summary statistics, all from the same underlying dataset, enforced by IAM conditions and row-level security rather than by manual data extracts, each carrying its own risk of unauthorized disclosure. The governance framework transforms compliance from a recurring manual burden into an architectural property of the platform itself.</w:t>
      </w:r>
    </w:p>
    <w:p w14:paraId="7026A72C" w14:textId="77777777" w:rsidR="007D75A8" w:rsidRPr="00853FE4" w:rsidRDefault="00000000">
      <w:pPr>
        <w:pStyle w:val="Heading1"/>
        <w:rPr>
          <w:color w:val="000000" w:themeColor="text1"/>
        </w:rPr>
      </w:pPr>
      <w:bookmarkStart w:id="24" w:name="_uhs2cuw12mgh" w:colFirst="0" w:colLast="0"/>
      <w:bookmarkEnd w:id="24"/>
      <w:r w:rsidRPr="00853FE4">
        <w:rPr>
          <w:color w:val="000000" w:themeColor="text1"/>
        </w:rPr>
        <w:t>5.0 A Data Mesh Reference Architecture for NOAA Fisheries</w:t>
      </w:r>
    </w:p>
    <w:p w14:paraId="15E84357" w14:textId="77777777" w:rsidR="007D75A8" w:rsidRPr="00853FE4" w:rsidRDefault="00000000">
      <w:pPr>
        <w:rPr>
          <w:color w:val="000000" w:themeColor="text1"/>
        </w:rPr>
      </w:pPr>
      <w:r w:rsidRPr="00853FE4">
        <w:rPr>
          <w:color w:val="000000" w:themeColor="text1"/>
        </w:rPr>
        <w:t>This section proposes a complete Data Mesh Reference Architecture for NOAA Fisheries, grounded in the four principles established in Section 4 and tailored to the scientific, regulatory, and operational context of federal fisheries management. Grounded in the findings of the current state assessments and the architectural evolution of big data systems, the proposed architecture provides actionable, Google Cloud Platform-specific implementation guidance for cloud engineers and data stewards. By using the Commercial Fishing Electronic Monitoring data product as a running illustrative case study, this section demonstrates how decentralized domain ownership, product-centric data management, self-serve platform capabilities, and federated computational governance can be instantiated cohesively to transform fisheries data management from a regional liability into an enterprise asset.</w:t>
      </w:r>
    </w:p>
    <w:p w14:paraId="0A6C19EE" w14:textId="77777777" w:rsidR="007D75A8" w:rsidRPr="00853FE4" w:rsidRDefault="00000000">
      <w:pPr>
        <w:pStyle w:val="Heading2"/>
        <w:rPr>
          <w:color w:val="000000" w:themeColor="text1"/>
        </w:rPr>
      </w:pPr>
      <w:bookmarkStart w:id="25" w:name="_giqtkjl235ni" w:colFirst="0" w:colLast="0"/>
      <w:bookmarkEnd w:id="25"/>
      <w:r w:rsidRPr="00853FE4">
        <w:rPr>
          <w:color w:val="000000" w:themeColor="text1"/>
        </w:rPr>
        <w:t>5.1 Domain Decomposition and Domain Ownership</w:t>
      </w:r>
    </w:p>
    <w:p w14:paraId="702B7136" w14:textId="77777777" w:rsidR="007D75A8" w:rsidRPr="00853FE4" w:rsidRDefault="00000000">
      <w:pPr>
        <w:rPr>
          <w:color w:val="000000" w:themeColor="text1"/>
        </w:rPr>
      </w:pPr>
      <w:r w:rsidRPr="00853FE4">
        <w:rPr>
          <w:color w:val="000000" w:themeColor="text1"/>
        </w:rPr>
        <w:t xml:space="preserve">Domain ownership, established in Section 4.1 as the foundational data mesh principle, holds that analytical data should be owned and managed by the mission domains that generate and are most </w:t>
      </w:r>
      <w:r w:rsidRPr="00853FE4">
        <w:rPr>
          <w:color w:val="000000" w:themeColor="text1"/>
        </w:rPr>
        <w:lastRenderedPageBreak/>
        <w:t>knowledgeable about that data, rather than by a centralized data team (Dehghani, 2022). In a reference architecture context, domain ownership is not merely a philosophical commitment to decentralization. It is a concrete design decision about how to decompose a complex organizational data landscape into manageable units, who is accountable for what, and how those units coordinate. This section proposes a domain decomposition for NOAA Fisheries grounded in the Magnuson-Stevens Act and the organizational structures it establishes, following the Domain Decomposition Strategy described in the design rationale for this architecture.</w:t>
      </w:r>
    </w:p>
    <w:p w14:paraId="4DA315D5" w14:textId="77777777" w:rsidR="007D75A8" w:rsidRPr="00853FE4" w:rsidRDefault="00000000">
      <w:pPr>
        <w:pStyle w:val="Heading3"/>
        <w:rPr>
          <w:color w:val="000000" w:themeColor="text1"/>
        </w:rPr>
      </w:pPr>
      <w:bookmarkStart w:id="26" w:name="_2xt2c8d9z3bh" w:colFirst="0" w:colLast="0"/>
      <w:bookmarkEnd w:id="26"/>
      <w:r w:rsidRPr="00853FE4">
        <w:rPr>
          <w:color w:val="000000" w:themeColor="text1"/>
        </w:rPr>
        <w:t>Domain Identification Criteria</w:t>
      </w:r>
    </w:p>
    <w:p w14:paraId="048977E8" w14:textId="77777777" w:rsidR="007D75A8" w:rsidRPr="00853FE4" w:rsidRDefault="00000000">
      <w:pPr>
        <w:rPr>
          <w:color w:val="000000" w:themeColor="text1"/>
        </w:rPr>
      </w:pPr>
      <w:r w:rsidRPr="00853FE4">
        <w:rPr>
          <w:color w:val="000000" w:themeColor="text1"/>
        </w:rPr>
        <w:t>Drawing on the intellectual foundations established in Section 3.4, domains are identified through three converging criteria. First, bounded context analysis (Evans, 2003; Steinegger et al., 2017): each domain must represent a coherent area of mission activity with distinct terminology, quality standards, data semantics, and analytical conventions that differ meaningfully from those of other domains. Consider the term "bycatch." Under the Magnuson-Stevens Act sec.3(2), bycatch is defined as fish harvested but not sold or kept for personal use, a regulatory definition that enforcement agents apply to determine whether a vessel has exceeded permitted take limits (Magnuson-Stevens Act, 2007). A stock assessment scientist, by contrast, uses bycatch data to estimate total fishing mortality, where the same term represents a biological modeling input whose quality requirements, representative sampling, species-level taxonomic resolution, differ from what is legally sufficient for an enforcement determination, species identification to the level required by regulation, documented in an observer report subject to chain-of-custody standards (Wallace &amp; Fletcher, 2000). The same data, produced by the same observer or EM system, is consumed through different lenses, with different quality expectations, by two domains operating under different statutory standards. Second, Conway's Law (Conway, 1968): the decomposition must align with the existing organizational communication structures of NOAA Fisheries so that domain boundaries reinforce rather than work against the way work is actually organized. Third, statutory alignment: each domain must map to specific provisions of the Magnuson-Stevens Act or related authorities, ensuring that the regulatory mandates examined in Section 2.3 are directly traceable to domain responsibilities.</w:t>
      </w:r>
    </w:p>
    <w:p w14:paraId="28C9A57F" w14:textId="77777777" w:rsidR="007D75A8" w:rsidRPr="00853FE4" w:rsidRDefault="00000000">
      <w:pPr>
        <w:pStyle w:val="Heading3"/>
        <w:rPr>
          <w:color w:val="000000" w:themeColor="text1"/>
        </w:rPr>
      </w:pPr>
      <w:bookmarkStart w:id="27" w:name="_1cymx81m1gnx" w:colFirst="0" w:colLast="0"/>
      <w:bookmarkEnd w:id="27"/>
      <w:r w:rsidRPr="00853FE4">
        <w:rPr>
          <w:color w:val="000000" w:themeColor="text1"/>
        </w:rPr>
        <w:t>Proposed Domain Structure</w:t>
      </w:r>
    </w:p>
    <w:p w14:paraId="5ADEC50A" w14:textId="77777777" w:rsidR="007D75A8" w:rsidRPr="00853FE4" w:rsidRDefault="00000000">
      <w:pPr>
        <w:rPr>
          <w:color w:val="000000" w:themeColor="text1"/>
        </w:rPr>
      </w:pPr>
      <w:r w:rsidRPr="00853FE4">
        <w:rPr>
          <w:color w:val="000000" w:themeColor="text1"/>
        </w:rPr>
        <w:t>Applying these criteria yields eight functional domains, each corresponding to a core mission responsibility:</w:t>
      </w:r>
    </w:p>
    <w:p w14:paraId="2F39EA8C" w14:textId="77777777" w:rsidR="007D75A8" w:rsidRPr="00853FE4" w:rsidRDefault="007D75A8">
      <w:pPr>
        <w:pBdr>
          <w:top w:val="nil"/>
          <w:left w:val="nil"/>
          <w:bottom w:val="nil"/>
          <w:right w:val="nil"/>
          <w:between w:val="nil"/>
        </w:pBdr>
        <w:rPr>
          <w:color w:val="000000" w:themeColor="text1"/>
        </w:rPr>
      </w:pPr>
    </w:p>
    <w:p w14:paraId="5BE7D580" w14:textId="77777777" w:rsidR="007D75A8" w:rsidRPr="00853FE4" w:rsidRDefault="00000000">
      <w:pPr>
        <w:rPr>
          <w:color w:val="000000" w:themeColor="text1"/>
        </w:rPr>
      </w:pPr>
      <w:r w:rsidRPr="00853FE4">
        <w:rPr>
          <w:b/>
          <w:bCs/>
          <w:color w:val="000000" w:themeColor="text1"/>
        </w:rPr>
        <w:t>1. Stock Assessment and Surveys</w:t>
      </w:r>
      <w:r w:rsidRPr="00853FE4">
        <w:rPr>
          <w:color w:val="000000" w:themeColor="text1"/>
        </w:rPr>
        <w:t xml:space="preserve"> (MSA sec.404, National Standard 2). Responsible for fishery-independent survey data, stock assessment models, annual catch limit recommendations, and the scientific advice provided to Regional Fishery Management Councils through their </w:t>
      </w:r>
      <w:r w:rsidRPr="00853FE4">
        <w:rPr>
          <w:color w:val="000000" w:themeColor="text1"/>
        </w:rPr>
        <w:lastRenderedPageBreak/>
        <w:t>Scientific and Statistical Committees. Representative data products include survey biomass time series, age and length composition data, recruitment indices, and environmental covariate datasets.</w:t>
      </w:r>
    </w:p>
    <w:p w14:paraId="67F664C4" w14:textId="77777777" w:rsidR="007D75A8" w:rsidRPr="00853FE4" w:rsidRDefault="007D75A8">
      <w:pPr>
        <w:pBdr>
          <w:top w:val="nil"/>
          <w:left w:val="nil"/>
          <w:bottom w:val="nil"/>
          <w:right w:val="nil"/>
          <w:between w:val="nil"/>
        </w:pBdr>
        <w:rPr>
          <w:color w:val="000000" w:themeColor="text1"/>
        </w:rPr>
      </w:pPr>
    </w:p>
    <w:p w14:paraId="7284A82A" w14:textId="77777777" w:rsidR="007D75A8" w:rsidRPr="00853FE4" w:rsidRDefault="00000000">
      <w:pPr>
        <w:rPr>
          <w:color w:val="000000" w:themeColor="text1"/>
        </w:rPr>
      </w:pPr>
      <w:r w:rsidRPr="00853FE4">
        <w:rPr>
          <w:b/>
          <w:bCs/>
          <w:color w:val="000000" w:themeColor="text1"/>
        </w:rPr>
        <w:t>2. Fishery Monitoring</w:t>
      </w:r>
      <w:r w:rsidRPr="00853FE4">
        <w:rPr>
          <w:color w:val="000000" w:themeColor="text1"/>
        </w:rPr>
        <w:t xml:space="preserve"> (MSA sec.403). Responsible for at-sea observer data, electronic monitoring data, and the trip-level records on catch composition, discards, protected species interactions, and gear characteristics that support stock assessment, protected species compliance, and enforcement. Representative data products include observer trip reports, EM trip reports, biological sample records, and gear characterization datasets.</w:t>
      </w:r>
    </w:p>
    <w:p w14:paraId="663441DA" w14:textId="77777777" w:rsidR="007D75A8" w:rsidRPr="00853FE4" w:rsidRDefault="007D75A8">
      <w:pPr>
        <w:pBdr>
          <w:top w:val="nil"/>
          <w:left w:val="nil"/>
          <w:bottom w:val="nil"/>
          <w:right w:val="nil"/>
          <w:between w:val="nil"/>
        </w:pBdr>
        <w:rPr>
          <w:color w:val="000000" w:themeColor="text1"/>
        </w:rPr>
      </w:pPr>
    </w:p>
    <w:p w14:paraId="7DCF25ED" w14:textId="77777777" w:rsidR="007D75A8" w:rsidRPr="00853FE4" w:rsidRDefault="00000000">
      <w:pPr>
        <w:rPr>
          <w:color w:val="000000" w:themeColor="text1"/>
        </w:rPr>
      </w:pPr>
      <w:r w:rsidRPr="00853FE4">
        <w:rPr>
          <w:b/>
          <w:bCs/>
          <w:color w:val="000000" w:themeColor="text1"/>
        </w:rPr>
        <w:t>3. Vessel Operations, Catch, and Effort</w:t>
      </w:r>
      <w:r w:rsidRPr="00853FE4">
        <w:rPr>
          <w:color w:val="000000" w:themeColor="text1"/>
        </w:rPr>
        <w:t xml:space="preserve"> (MSA sec.402, enforcement provisions, and catch/effort monitoring). Responsible for vessel monitoring system (VMS) position data, automatic identification system (AIS) data, commercial and recreational logbook data, dealer-reported landings data, fishing effort summaries, and vessel registry information. Representative data products include real-time vessel position feeds, catch and effort time series by fishery and region, and vessel characteristic reference data.</w:t>
      </w:r>
    </w:p>
    <w:p w14:paraId="0EEEFE38" w14:textId="77777777" w:rsidR="007D75A8" w:rsidRPr="00853FE4" w:rsidRDefault="007D75A8">
      <w:pPr>
        <w:pBdr>
          <w:top w:val="nil"/>
          <w:left w:val="nil"/>
          <w:bottom w:val="nil"/>
          <w:right w:val="nil"/>
          <w:between w:val="nil"/>
        </w:pBdr>
        <w:rPr>
          <w:color w:val="000000" w:themeColor="text1"/>
        </w:rPr>
      </w:pPr>
    </w:p>
    <w:p w14:paraId="019B6D42" w14:textId="77777777" w:rsidR="007D75A8" w:rsidRPr="00853FE4" w:rsidRDefault="00000000">
      <w:pPr>
        <w:rPr>
          <w:color w:val="000000" w:themeColor="text1"/>
        </w:rPr>
      </w:pPr>
      <w:r w:rsidRPr="00853FE4">
        <w:rPr>
          <w:b/>
          <w:bCs/>
          <w:color w:val="000000" w:themeColor="text1"/>
        </w:rPr>
        <w:t>4. Permits and Limited Access</w:t>
      </w:r>
      <w:r w:rsidRPr="00853FE4">
        <w:rPr>
          <w:color w:val="000000" w:themeColor="text1"/>
        </w:rPr>
        <w:t xml:space="preserve"> (MSA sec.303A). Responsible for permit applications, individual fishing quota (IFQ) allocations, limited access privilege program administration, and the associated compliance and transfer records. Representative data products include permit holder registries, quota share allocation tables, and IFQ transfer records.</w:t>
      </w:r>
    </w:p>
    <w:p w14:paraId="42BB3852" w14:textId="77777777" w:rsidR="007D75A8" w:rsidRPr="00853FE4" w:rsidRDefault="007D75A8">
      <w:pPr>
        <w:pBdr>
          <w:top w:val="nil"/>
          <w:left w:val="nil"/>
          <w:bottom w:val="nil"/>
          <w:right w:val="nil"/>
          <w:between w:val="nil"/>
        </w:pBdr>
        <w:rPr>
          <w:color w:val="000000" w:themeColor="text1"/>
        </w:rPr>
      </w:pPr>
    </w:p>
    <w:p w14:paraId="236C763D" w14:textId="77777777" w:rsidR="007D75A8" w:rsidRPr="00853FE4" w:rsidRDefault="00000000">
      <w:pPr>
        <w:rPr>
          <w:color w:val="000000" w:themeColor="text1"/>
        </w:rPr>
      </w:pPr>
      <w:r w:rsidRPr="00853FE4">
        <w:rPr>
          <w:b/>
          <w:bCs/>
          <w:color w:val="000000" w:themeColor="text1"/>
        </w:rPr>
        <w:t>5. Protected Species and Bycatch</w:t>
      </w:r>
      <w:r w:rsidRPr="00853FE4">
        <w:rPr>
          <w:color w:val="000000" w:themeColor="text1"/>
        </w:rPr>
        <w:t xml:space="preserve"> (MSA National Standard 9, Endangered Species Act, Marine Mammal Protection Act). Responsible for data on protected species interactions with fishing operations, bycatch estimates, and the data products supporting ESA Section 7 consultations and MMPA compliance. Representative data products include marine mammal interaction reports, sea turtle take records, and fishery-level bycatch rate estimates.</w:t>
      </w:r>
    </w:p>
    <w:p w14:paraId="1300B5F0" w14:textId="77777777" w:rsidR="007D75A8" w:rsidRPr="00853FE4" w:rsidRDefault="007D75A8">
      <w:pPr>
        <w:pBdr>
          <w:top w:val="nil"/>
          <w:left w:val="nil"/>
          <w:bottom w:val="nil"/>
          <w:right w:val="nil"/>
          <w:between w:val="nil"/>
        </w:pBdr>
        <w:rPr>
          <w:color w:val="000000" w:themeColor="text1"/>
        </w:rPr>
      </w:pPr>
    </w:p>
    <w:p w14:paraId="1D507F5F" w14:textId="77777777" w:rsidR="007D75A8" w:rsidRPr="00853FE4" w:rsidRDefault="00000000">
      <w:pPr>
        <w:rPr>
          <w:color w:val="000000" w:themeColor="text1"/>
        </w:rPr>
      </w:pPr>
      <w:r w:rsidRPr="00853FE4">
        <w:rPr>
          <w:b/>
          <w:bCs/>
          <w:color w:val="000000" w:themeColor="text1"/>
        </w:rPr>
        <w:t>6. Habitat Conservation</w:t>
      </w:r>
      <w:r w:rsidRPr="00853FE4">
        <w:rPr>
          <w:color w:val="000000" w:themeColor="text1"/>
        </w:rPr>
        <w:t xml:space="preserve"> (MSA sec.305, Essential Fish Habitat provisions). Responsible for EFH spatial data, habitat condition assessments, and the data products supporting EFH consultations with other federal agencies under the consultation process established by sec.305(b). Representative data products include EFH designation maps, habitat suitability models, and gear impact assessment data.</w:t>
      </w:r>
    </w:p>
    <w:p w14:paraId="3433286B" w14:textId="77777777" w:rsidR="007D75A8" w:rsidRPr="00853FE4" w:rsidRDefault="007D75A8">
      <w:pPr>
        <w:pBdr>
          <w:top w:val="nil"/>
          <w:left w:val="nil"/>
          <w:bottom w:val="nil"/>
          <w:right w:val="nil"/>
          <w:between w:val="nil"/>
        </w:pBdr>
        <w:rPr>
          <w:color w:val="000000" w:themeColor="text1"/>
        </w:rPr>
      </w:pPr>
    </w:p>
    <w:p w14:paraId="29A26099" w14:textId="77777777" w:rsidR="007D75A8" w:rsidRPr="00853FE4" w:rsidRDefault="00000000">
      <w:pPr>
        <w:rPr>
          <w:color w:val="000000" w:themeColor="text1"/>
        </w:rPr>
      </w:pPr>
      <w:r w:rsidRPr="00853FE4">
        <w:rPr>
          <w:b/>
          <w:bCs/>
          <w:color w:val="000000" w:themeColor="text1"/>
        </w:rPr>
        <w:t>7. Socioeconomics</w:t>
      </w:r>
      <w:r w:rsidRPr="00853FE4">
        <w:rPr>
          <w:color w:val="000000" w:themeColor="text1"/>
        </w:rPr>
        <w:t xml:space="preserve"> (MSA National Standard 8). Responsible for fishing community profiles, economic impact analyses, employment data, and market conditions data supporting regulatory </w:t>
      </w:r>
      <w:r w:rsidRPr="00853FE4">
        <w:rPr>
          <w:color w:val="000000" w:themeColor="text1"/>
        </w:rPr>
        <w:lastRenderedPageBreak/>
        <w:t>impact analysis. Representative data products include community dependence indices, cost-earnings survey data, and regional economic impact models.</w:t>
      </w:r>
    </w:p>
    <w:p w14:paraId="55608B3F" w14:textId="77777777" w:rsidR="007D75A8" w:rsidRPr="00853FE4" w:rsidRDefault="007D75A8">
      <w:pPr>
        <w:pBdr>
          <w:top w:val="nil"/>
          <w:left w:val="nil"/>
          <w:bottom w:val="nil"/>
          <w:right w:val="nil"/>
          <w:between w:val="nil"/>
        </w:pBdr>
        <w:rPr>
          <w:color w:val="000000" w:themeColor="text1"/>
        </w:rPr>
      </w:pPr>
    </w:p>
    <w:p w14:paraId="73CADC88" w14:textId="77777777" w:rsidR="007D75A8" w:rsidRPr="00853FE4" w:rsidRDefault="00000000">
      <w:pPr>
        <w:rPr>
          <w:color w:val="000000" w:themeColor="text1"/>
        </w:rPr>
      </w:pPr>
      <w:r w:rsidRPr="00853FE4">
        <w:rPr>
          <w:b/>
          <w:bCs/>
          <w:color w:val="000000" w:themeColor="text1"/>
        </w:rPr>
        <w:t>8. Enforcement</w:t>
      </w:r>
      <w:r w:rsidRPr="00853FE4">
        <w:rPr>
          <w:color w:val="000000" w:themeColor="text1"/>
        </w:rPr>
        <w:t xml:space="preserve"> (MSA sec.311). Responsible for violation records, inspection data, case management information, and the data products supporting civil and criminal enforcement actions. Representative data products include violation case records, permit sanction status tracking, and inspection outcome datasets.</w:t>
      </w:r>
    </w:p>
    <w:p w14:paraId="487B35C8" w14:textId="77777777" w:rsidR="007D75A8" w:rsidRPr="00853FE4" w:rsidRDefault="00000000">
      <w:pPr>
        <w:pStyle w:val="Heading3"/>
        <w:rPr>
          <w:color w:val="000000" w:themeColor="text1"/>
        </w:rPr>
      </w:pPr>
      <w:bookmarkStart w:id="28" w:name="_duszao5km7ok" w:colFirst="0" w:colLast="0"/>
      <w:bookmarkEnd w:id="28"/>
      <w:r w:rsidRPr="00853FE4">
        <w:rPr>
          <w:color w:val="000000" w:themeColor="text1"/>
        </w:rPr>
        <w:t>Region as a Metadata Dimension, Not a Domain Boundary</w:t>
      </w:r>
    </w:p>
    <w:p w14:paraId="39CB148C" w14:textId="77777777" w:rsidR="007D75A8" w:rsidRPr="00853FE4" w:rsidRDefault="00000000">
      <w:pPr>
        <w:rPr>
          <w:color w:val="000000" w:themeColor="text1"/>
        </w:rPr>
      </w:pPr>
      <w:r w:rsidRPr="00853FE4">
        <w:rPr>
          <w:color w:val="000000" w:themeColor="text1"/>
        </w:rPr>
        <w:t xml:space="preserve">A critical architectural decision in this decomposition is that region, Council jurisdiction, and fishery are not organizational boundaries that separate domain teams. They are metadata dimensions within each data product. A Stock Assessment data product carries </w:t>
      </w:r>
      <w:r w:rsidRPr="00853FE4">
        <w:rPr>
          <w:rFonts w:ascii="Courier New" w:eastAsia="Courier New" w:hAnsi="Courier New" w:cs="Courier New"/>
          <w:color w:val="000000" w:themeColor="text1"/>
          <w:sz w:val="22"/>
          <w:szCs w:val="22"/>
        </w:rPr>
        <w:t>region = "Gulf of Alaska"</w:t>
      </w:r>
      <w:r w:rsidRPr="00853FE4">
        <w:rPr>
          <w:rFonts w:ascii="Courier New" w:eastAsia="Courier New" w:hAnsi="Courier New" w:cs="Courier New"/>
          <w:color w:val="000000" w:themeColor="text1"/>
        </w:rPr>
        <w:t xml:space="preserve"> </w:t>
      </w:r>
      <w:r w:rsidRPr="00853FE4">
        <w:rPr>
          <w:color w:val="000000" w:themeColor="text1"/>
        </w:rPr>
        <w:t>and</w:t>
      </w:r>
      <w:r w:rsidRPr="00853FE4">
        <w:rPr>
          <w:rFonts w:ascii="Courier New" w:eastAsia="Courier New" w:hAnsi="Courier New" w:cs="Courier New"/>
          <w:color w:val="000000" w:themeColor="text1"/>
        </w:rPr>
        <w:t xml:space="preserve"> </w:t>
      </w:r>
      <w:r w:rsidRPr="00853FE4">
        <w:rPr>
          <w:rFonts w:ascii="Courier New" w:eastAsia="Courier New" w:hAnsi="Courier New" w:cs="Courier New"/>
          <w:color w:val="000000" w:themeColor="text1"/>
          <w:sz w:val="22"/>
          <w:szCs w:val="22"/>
        </w:rPr>
        <w:t>council = "North Pacific"</w:t>
      </w:r>
      <w:r w:rsidRPr="00853FE4">
        <w:rPr>
          <w:color w:val="000000" w:themeColor="text1"/>
        </w:rPr>
        <w:t xml:space="preserve"> as attributes. It is owned by the Stock Assessment and Surveys domain, not by the Alaska Fisheries Science Center, and it is queryable alongside Northwest Atlantic groundfish assessment data from the same domain namespace. Similarly, an observer trip report from a Northeast multispecies vessel is owned by the Fishery Monitoring domain and carries </w:t>
      </w:r>
      <w:r w:rsidRPr="00853FE4">
        <w:rPr>
          <w:rFonts w:ascii="Courier New" w:eastAsia="Courier New" w:hAnsi="Courier New" w:cs="Courier New"/>
          <w:color w:val="000000" w:themeColor="text1"/>
          <w:sz w:val="22"/>
          <w:szCs w:val="22"/>
        </w:rPr>
        <w:t>region = "Northeast"</w:t>
      </w:r>
      <w:r w:rsidRPr="00853FE4">
        <w:rPr>
          <w:color w:val="000000" w:themeColor="text1"/>
        </w:rPr>
        <w:t xml:space="preserve"> and </w:t>
      </w:r>
      <w:r w:rsidRPr="00853FE4">
        <w:rPr>
          <w:rFonts w:ascii="Courier New" w:eastAsia="Courier New" w:hAnsi="Courier New" w:cs="Courier New"/>
          <w:color w:val="000000" w:themeColor="text1"/>
          <w:sz w:val="22"/>
          <w:szCs w:val="22"/>
        </w:rPr>
        <w:t>fishery = "multispecies"</w:t>
      </w:r>
      <w:r w:rsidRPr="00853FE4">
        <w:rPr>
          <w:color w:val="000000" w:themeColor="text1"/>
        </w:rPr>
        <w:t xml:space="preserve"> as metadata, enabling consumers to filter by region without the data being owned by a separate regional authority.</w:t>
      </w:r>
    </w:p>
    <w:p w14:paraId="3EDFFF00" w14:textId="77777777" w:rsidR="007D75A8" w:rsidRPr="00853FE4" w:rsidRDefault="007D75A8">
      <w:pPr>
        <w:pBdr>
          <w:top w:val="nil"/>
          <w:left w:val="nil"/>
          <w:bottom w:val="nil"/>
          <w:right w:val="nil"/>
          <w:between w:val="nil"/>
        </w:pBdr>
        <w:rPr>
          <w:color w:val="000000" w:themeColor="text1"/>
        </w:rPr>
      </w:pPr>
    </w:p>
    <w:p w14:paraId="3246690F" w14:textId="77777777" w:rsidR="007D75A8" w:rsidRPr="00853FE4" w:rsidRDefault="00000000">
      <w:pPr>
        <w:rPr>
          <w:color w:val="000000" w:themeColor="text1"/>
        </w:rPr>
      </w:pPr>
      <w:r w:rsidRPr="00853FE4">
        <w:rPr>
          <w:color w:val="000000" w:themeColor="text1"/>
        </w:rPr>
        <w:t>This design ensures that cross-regional analyses do not require coordination across independent regional data owners. A climate vulnerability assessment that compares stock responses across ecosystems queries data products from a single domain using region as a filter, rather than requesting extracts from six different regional databases with six different schemas, quality conventions, and access procedures. The domain provides a single namespace for each type of analytical data. The region remains fully available for filtering, aggregation, and comparative analysis, but it is not an ownership boundary that fragments the data ecosystem.</w:t>
      </w:r>
    </w:p>
    <w:p w14:paraId="523937EB" w14:textId="77777777" w:rsidR="007D75A8" w:rsidRPr="00853FE4" w:rsidRDefault="00000000">
      <w:pPr>
        <w:pStyle w:val="Heading3"/>
        <w:rPr>
          <w:color w:val="000000" w:themeColor="text1"/>
        </w:rPr>
      </w:pPr>
      <w:bookmarkStart w:id="29" w:name="_2zkyartq0brd" w:colFirst="0" w:colLast="0"/>
      <w:bookmarkEnd w:id="29"/>
      <w:r w:rsidRPr="00853FE4">
        <w:rPr>
          <w:color w:val="000000" w:themeColor="text1"/>
        </w:rPr>
        <w:t>Organizational Model</w:t>
      </w:r>
    </w:p>
    <w:p w14:paraId="7823198B" w14:textId="77777777" w:rsidR="007D75A8" w:rsidRPr="00853FE4" w:rsidRDefault="00000000">
      <w:pPr>
        <w:rPr>
          <w:color w:val="000000" w:themeColor="text1"/>
        </w:rPr>
      </w:pPr>
      <w:r w:rsidRPr="00853FE4">
        <w:rPr>
          <w:color w:val="000000" w:themeColor="text1"/>
        </w:rPr>
        <w:t xml:space="preserve">Each domain is organized as a community of practice with a governance steward. The domain's contributors, the stock assessment scientists, survey leads, data managers, and analysts distributed across multiple regional offices and science centers, are the people who create, curate, and maintain the domain's data products. In large domains such as Fishery Monitoring, which spans all six science centers, the regional observer program offices, and the Office of Science and Technology, contributors work largely autonomously, selecting what data products to create, what methodologies to apply, and what quality thresholds to meet, within the guardrails that the </w:t>
      </w:r>
      <w:r w:rsidRPr="00853FE4">
        <w:rPr>
          <w:color w:val="000000" w:themeColor="text1"/>
        </w:rPr>
        <w:lastRenderedPageBreak/>
        <w:t>platform enforces. An EM data analyst at the Alaska Fisheries Science Center who publishes a new EM trip report dataset does not wait for anyone's approval. They use a platform template that automatically validates the schema against the domain standard, applies the correct IAM policies, registers the product in Data Catalog, enables audit logging, and deploys quality monitoring. If the schema complies, the product publishes.</w:t>
      </w:r>
    </w:p>
    <w:p w14:paraId="7597EE44" w14:textId="77777777" w:rsidR="007D75A8" w:rsidRPr="00853FE4" w:rsidRDefault="007D75A8">
      <w:pPr>
        <w:pBdr>
          <w:top w:val="nil"/>
          <w:left w:val="nil"/>
          <w:bottom w:val="nil"/>
          <w:right w:val="nil"/>
          <w:between w:val="nil"/>
        </w:pBdr>
        <w:rPr>
          <w:color w:val="000000" w:themeColor="text1"/>
        </w:rPr>
      </w:pPr>
    </w:p>
    <w:p w14:paraId="609CA1CF" w14:textId="77777777" w:rsidR="007D75A8" w:rsidRPr="00853FE4" w:rsidRDefault="00000000">
      <w:pPr>
        <w:rPr>
          <w:color w:val="000000" w:themeColor="text1"/>
        </w:rPr>
      </w:pPr>
      <w:r w:rsidRPr="00853FE4">
        <w:rPr>
          <w:color w:val="000000" w:themeColor="text1"/>
        </w:rPr>
        <w:t>The Data Product Owner is the steward of the domain's data product standards, not the manager of its people. The DPO role does not strictly require a single individual; it may be fulfilled by a designated lead or a small, focused stewardship group to avoid single points of failure without succumbing to committee gridlock. Crucially, the DPO sits between the domain teams that generate data products and the centralized platform team, requiring a working knowledge of both the scientific mission and the technical platform capabilities. As legacy regional IT operations are increasingly centralized under the national Office of the Chief Information Officer to staff the enterprise platform team, the DPO remains firmly rooted in the mission domain to translate scientific needs into platform configurations. The DPO makes decisions about the domain's schemas, data contracts, quality SLOs, and governance policies. These decisions are made infrequently, through a lightweight standards proposal process that engages domain contributors, and they take effect across the entire domain when the DPO encodes them into the platform's templates and automated enforcement rules. The DPO is accountable for the health of the domain's data product ecosystem. They are not accountable for directing the daily work of hundreds of contributors, a role that would be structurally impossible in domains of this size. The Fishery Monitoring DPO defines, for example, that all EM trip report data products must include certain required metadata fields, must pass Dataplex validation rules verifying species codes against the authoritative taxonomy, and must meet a minimum data freshness SLO of 30 days from trip completion for data to be available to stock assessment consumers. Individual contributors meet those standards autonomously because the platform enforces them automatically. The DPO does not gatekeep individual data product publications. The platform does.</w:t>
      </w:r>
    </w:p>
    <w:p w14:paraId="73F86CD2" w14:textId="77777777" w:rsidR="007D75A8" w:rsidRPr="00853FE4" w:rsidRDefault="007D75A8">
      <w:pPr>
        <w:pBdr>
          <w:top w:val="nil"/>
          <w:left w:val="nil"/>
          <w:bottom w:val="nil"/>
          <w:right w:val="nil"/>
          <w:between w:val="nil"/>
        </w:pBdr>
        <w:rPr>
          <w:color w:val="000000" w:themeColor="text1"/>
        </w:rPr>
      </w:pPr>
    </w:p>
    <w:p w14:paraId="1C73A057" w14:textId="77777777" w:rsidR="007D75A8" w:rsidRPr="00853FE4" w:rsidRDefault="00000000">
      <w:pPr>
        <w:rPr>
          <w:color w:val="000000" w:themeColor="text1"/>
        </w:rPr>
      </w:pPr>
      <w:r w:rsidRPr="00853FE4">
        <w:rPr>
          <w:color w:val="000000" w:themeColor="text1"/>
        </w:rPr>
        <w:t xml:space="preserve">This distinction resolves a structural tension inherent in large, regionally distributed domains. If every schema change, every new data product, every SLO adjustment required the DPO's approval, the DPO would become a bottleneck identical to the centralized data team that the data mesh is designed to replace. If every decision required committee consensus across a domain of a hundred contributors distributed across six centers, the process would grind to a halt, a pattern familiar to anyone who has participated in large-scale federal data governance efforts. The platform and computational governance framework, described in Sections 5.3 and 5.4, exist precisely to make this coordination scale. The DPO defines standards; the platform enforces </w:t>
      </w:r>
      <w:r w:rsidRPr="00853FE4">
        <w:rPr>
          <w:color w:val="000000" w:themeColor="text1"/>
        </w:rPr>
        <w:lastRenderedPageBreak/>
        <w:t>them. The DPO intervenes only for exceptions, appeals, and standards evolution. This is not a compromise. It is the architectural rationale for computational governance itself: the mechanism that enables distributed ownership to function without either bottleneck or chaos.</w:t>
      </w:r>
    </w:p>
    <w:p w14:paraId="1ADADA3D" w14:textId="77777777" w:rsidR="007D75A8" w:rsidRPr="00853FE4" w:rsidRDefault="007D75A8">
      <w:pPr>
        <w:pBdr>
          <w:top w:val="nil"/>
          <w:left w:val="nil"/>
          <w:bottom w:val="nil"/>
          <w:right w:val="nil"/>
          <w:between w:val="nil"/>
        </w:pBdr>
        <w:rPr>
          <w:color w:val="000000" w:themeColor="text1"/>
        </w:rPr>
      </w:pPr>
    </w:p>
    <w:p w14:paraId="58F30537" w14:textId="77777777" w:rsidR="007D75A8" w:rsidRPr="00853FE4" w:rsidRDefault="00000000">
      <w:pPr>
        <w:rPr>
          <w:color w:val="000000" w:themeColor="text1"/>
        </w:rPr>
      </w:pPr>
      <w:r w:rsidRPr="00853FE4">
        <w:rPr>
          <w:color w:val="000000" w:themeColor="text1"/>
        </w:rPr>
        <w:t>This model introduces a financial coordination requirement that is similarly constrained. Domain contributors are funded by their home Financial Management Center, a regional office or science center with its own annual appropriation, or by an enterprise or cross-regional initiative funded through an RFP process, grants, cooperative agreements, or means. The DPO does not control these funding streams. The domain's platform infrastructure costs (BigQuery storage, query slots, Cloud Run compute) are attributed to cost centers through the label-based chargeback model described in Section 5.3, ensuring that each FMC and project pays for the consumption attributable to their participation. This approach allows FMCs to budget for cloud consumption within existing appropriation structures while participating in shared domain infrastructure that would be uneconomical for any single FMC to operate independently.</w:t>
      </w:r>
    </w:p>
    <w:p w14:paraId="7E1BEB83" w14:textId="77777777" w:rsidR="007D75A8" w:rsidRPr="00853FE4" w:rsidRDefault="007D75A8">
      <w:pPr>
        <w:pBdr>
          <w:top w:val="nil"/>
          <w:left w:val="nil"/>
          <w:bottom w:val="nil"/>
          <w:right w:val="nil"/>
          <w:between w:val="nil"/>
        </w:pBdr>
        <w:rPr>
          <w:color w:val="000000" w:themeColor="text1"/>
        </w:rPr>
      </w:pPr>
    </w:p>
    <w:p w14:paraId="10270D4F" w14:textId="77777777" w:rsidR="007D75A8" w:rsidRPr="00853FE4" w:rsidRDefault="00000000">
      <w:pPr>
        <w:rPr>
          <w:color w:val="000000" w:themeColor="text1"/>
        </w:rPr>
      </w:pPr>
      <w:r w:rsidRPr="00853FE4">
        <w:rPr>
          <w:color w:val="000000" w:themeColor="text1"/>
        </w:rPr>
        <w:t>Domain contributors need specialized tools to perform their work. In the EM space, this includes video review applications for species identification, annotation platforms for generating ML training datasets, and quality control dashboards for validating results. These tools are selected and deployed by domain contributors according to their regional and programmatic needs, the Northwest Fisheries Science Center may use a different video review platform than the Alaska Fisheries Science Center. The platform does not standardize these operational tools. It provides the deployment infrastructure (Cloud Run, Vertex AI, GKE) and governance guardrails (IAM, VPC Service Controls, audit logging) that ensure that whatever tools domain contributors choose, they operate within the domain's security and compliance boundary. This separation of concerns, domain autonomy over operational tooling, platform enforcement of security and governance, mirrors the separation between data product publication (autonomous) and data product standards (DPO-enforced) described above.</w:t>
      </w:r>
    </w:p>
    <w:p w14:paraId="453647D2" w14:textId="77777777" w:rsidR="007D75A8" w:rsidRPr="00853FE4" w:rsidRDefault="00000000">
      <w:pPr>
        <w:pStyle w:val="Heading3"/>
        <w:rPr>
          <w:color w:val="000000" w:themeColor="text1"/>
        </w:rPr>
      </w:pPr>
      <w:bookmarkStart w:id="30" w:name="_3fes6jdhmph1" w:colFirst="0" w:colLast="0"/>
      <w:bookmarkEnd w:id="30"/>
      <w:r w:rsidRPr="00853FE4">
        <w:rPr>
          <w:color w:val="000000" w:themeColor="text1"/>
        </w:rPr>
        <w:t>Cross-Cutting Reference Data Products</w:t>
      </w:r>
    </w:p>
    <w:p w14:paraId="4E6E1F00" w14:textId="77777777" w:rsidR="007D75A8" w:rsidRPr="00853FE4" w:rsidRDefault="00000000">
      <w:pPr>
        <w:rPr>
          <w:color w:val="000000" w:themeColor="text1"/>
        </w:rPr>
      </w:pPr>
      <w:r w:rsidRPr="00853FE4">
        <w:rPr>
          <w:color w:val="000000" w:themeColor="text1"/>
        </w:rPr>
        <w:t xml:space="preserve">Several data products serve the entire mesh rather than belonging to a single domain. Species taxonomy, vessel registry, geographic area boundaries (Council regions, statistical areas, EFH polygons), gear type codes, and disposition codes are maintained as shared reference data products with a designated steward but accessible to all domains. These products ensure that common vocabularies are defined once and consumed consistently, eliminating the redundant maintenance and inconsistent versions that characterize the current fragmented landscape described in Section 2.2. The species taxonomy product, for example, is maintained by a taxonomy steward within the Office of Science and Technology and consumed by Fishery </w:t>
      </w:r>
      <w:r w:rsidRPr="00853FE4">
        <w:rPr>
          <w:color w:val="000000" w:themeColor="text1"/>
        </w:rPr>
        <w:lastRenderedPageBreak/>
        <w:t>Monitoring for observer species identification validation, by Stock Assessment and Surveys for catch composition analysis, and by Protected Species and Bycatch for bycatch reporting, all referencing a single authoritative source.</w:t>
      </w:r>
    </w:p>
    <w:p w14:paraId="71A8296D" w14:textId="77777777" w:rsidR="007D75A8" w:rsidRPr="00853FE4" w:rsidRDefault="00000000">
      <w:pPr>
        <w:pStyle w:val="Heading3"/>
        <w:rPr>
          <w:color w:val="000000" w:themeColor="text1"/>
        </w:rPr>
      </w:pPr>
      <w:bookmarkStart w:id="31" w:name="_blvec8x2ss6v" w:colFirst="0" w:colLast="0"/>
      <w:bookmarkEnd w:id="31"/>
      <w:r w:rsidRPr="00853FE4">
        <w:rPr>
          <w:color w:val="000000" w:themeColor="text1"/>
        </w:rPr>
        <w:t>EM Case Study Grounding</w:t>
      </w:r>
    </w:p>
    <w:p w14:paraId="5B4A200D" w14:textId="77777777" w:rsidR="007D75A8" w:rsidRPr="00853FE4" w:rsidRDefault="00000000">
      <w:pPr>
        <w:rPr>
          <w:color w:val="000000" w:themeColor="text1"/>
        </w:rPr>
      </w:pPr>
      <w:r w:rsidRPr="00853FE4">
        <w:rPr>
          <w:color w:val="000000" w:themeColor="text1"/>
        </w:rPr>
        <w:t>The Electronic Monitoring data product belongs to the Fishery Monitoring domain. Its DPO coordinates a virtual team that draws members from all six science centers (where EM video review expertise resides), the regional observer program offices (where EM program operations are managed), and the Office of Science and Technology (where national EM standards are developed). The DPO is accountable for the full lifecycle of EM data products across three stages defined by federal retention authorities: (1) the fishing year and monitoring period, where raw video and sensor data are ingested through Cloud Run APIs and catch reconciliation is completed (Alger, 2020); (2) the 12-month minimum retention period, where published trip-level data products remain addressable and discoverable in Data Catalog and BigQuery for program compliance, stock assessment consumption, and enforcement review; and (3) the five-year NARA retention period (National Archives and Records Administration [NARA], 2020), where pre-processed EM files are preserved in Cloud Storage Archive tier to satisfy the enforcement statute of limitations before scheduled destruction. This team does not need to provision infrastructure themselves. The self-serve platform, described in Section 5.3, provides templates that automatically create BigQuery datasets, configure IAM policies, enable audit logging, register the product in Data Catalog, define Dataplex quality rules, and deploy Cloud Monitoring SLO dashboards. The Fishery Monitoring domain team focuses its effort on what differentiates its products: establishing species identification accuracy thresholds, defining data freshness requirements aligned with Council meeting cycles, and ensuring that MSA confidentiality protections are correctly implemented for vessel-level data at each lifecycle stage.</w:t>
      </w:r>
    </w:p>
    <w:p w14:paraId="45BC6A50" w14:textId="77777777" w:rsidR="007D75A8" w:rsidRPr="00853FE4" w:rsidRDefault="00000000">
      <w:pPr>
        <w:pStyle w:val="Heading3"/>
        <w:rPr>
          <w:color w:val="000000" w:themeColor="text1"/>
        </w:rPr>
      </w:pPr>
      <w:bookmarkStart w:id="32" w:name="_b9mr95raf4ru" w:colFirst="0" w:colLast="0"/>
      <w:bookmarkEnd w:id="32"/>
      <w:r w:rsidRPr="00853FE4">
        <w:rPr>
          <w:color w:val="000000" w:themeColor="text1"/>
        </w:rPr>
        <w:t>Implementation Specificity</w:t>
      </w:r>
    </w:p>
    <w:p w14:paraId="684765DD" w14:textId="77777777" w:rsidR="007D75A8" w:rsidRPr="00853FE4" w:rsidRDefault="00000000">
      <w:pPr>
        <w:rPr>
          <w:color w:val="000000" w:themeColor="text1"/>
        </w:rPr>
      </w:pPr>
      <w:r w:rsidRPr="00853FE4">
        <w:rPr>
          <w:color w:val="000000" w:themeColor="text1"/>
        </w:rPr>
        <w:t xml:space="preserve">The GCP resource hierarchy reflects the domain decomposition directly. Under the NOAA Fisheries GCP Organization, a </w:t>
      </w:r>
      <w:r w:rsidRPr="00853FE4">
        <w:rPr>
          <w:rFonts w:ascii="Courier New" w:eastAsia="Courier New" w:hAnsi="Courier New" w:cs="Courier New"/>
          <w:color w:val="000000" w:themeColor="text1"/>
          <w:sz w:val="22"/>
          <w:szCs w:val="22"/>
        </w:rPr>
        <w:t>domains</w:t>
      </w:r>
      <w:r w:rsidRPr="00853FE4">
        <w:rPr>
          <w:color w:val="000000" w:themeColor="text1"/>
        </w:rPr>
        <w:t xml:space="preserve"> folder contains per-domain projects: </w:t>
      </w:r>
      <w:r w:rsidRPr="00853FE4">
        <w:rPr>
          <w:rFonts w:ascii="Courier New" w:eastAsia="Courier New" w:hAnsi="Courier New" w:cs="Courier New"/>
          <w:color w:val="000000" w:themeColor="text1"/>
          <w:sz w:val="22"/>
          <w:szCs w:val="22"/>
        </w:rPr>
        <w:t>stock-assessment-prod</w:t>
      </w:r>
      <w:r w:rsidRPr="00853FE4">
        <w:rPr>
          <w:rFonts w:ascii="Courier New" w:eastAsia="Courier New" w:hAnsi="Courier New" w:cs="Courier New"/>
          <w:color w:val="000000" w:themeColor="text1"/>
        </w:rPr>
        <w:t xml:space="preserve">, </w:t>
      </w:r>
      <w:r w:rsidRPr="00853FE4">
        <w:rPr>
          <w:rFonts w:ascii="Courier New" w:eastAsia="Courier New" w:hAnsi="Courier New" w:cs="Courier New"/>
          <w:color w:val="000000" w:themeColor="text1"/>
          <w:sz w:val="22"/>
          <w:szCs w:val="22"/>
        </w:rPr>
        <w:t>fishery-monitoring-prod</w:t>
      </w:r>
      <w:r w:rsidRPr="00853FE4">
        <w:rPr>
          <w:rFonts w:ascii="Courier New" w:eastAsia="Courier New" w:hAnsi="Courier New" w:cs="Courier New"/>
          <w:color w:val="000000" w:themeColor="text1"/>
        </w:rPr>
        <w:t xml:space="preserve">, </w:t>
      </w:r>
      <w:r w:rsidRPr="00853FE4">
        <w:rPr>
          <w:rFonts w:ascii="Courier New" w:eastAsia="Courier New" w:hAnsi="Courier New" w:cs="Courier New"/>
          <w:color w:val="000000" w:themeColor="text1"/>
          <w:sz w:val="22"/>
          <w:szCs w:val="22"/>
        </w:rPr>
        <w:t>vessel-operations-prod</w:t>
      </w:r>
      <w:r w:rsidRPr="00853FE4">
        <w:rPr>
          <w:color w:val="000000" w:themeColor="text1"/>
        </w:rPr>
        <w:t xml:space="preserve">, and the remaining five domain projects. Each domain project contains the BigQuery datasets, Cloud Storage buckets, Cloud Run services, and Data Catalog entries for that domain's data products. A parallel </w:t>
      </w:r>
      <w:r w:rsidRPr="00853FE4">
        <w:rPr>
          <w:rFonts w:ascii="Courier New" w:eastAsia="Courier New" w:hAnsi="Courier New" w:cs="Courier New"/>
          <w:color w:val="000000" w:themeColor="text1"/>
        </w:rPr>
        <w:t>domains-dev</w:t>
      </w:r>
      <w:r w:rsidRPr="00853FE4">
        <w:rPr>
          <w:color w:val="000000" w:themeColor="text1"/>
        </w:rPr>
        <w:t xml:space="preserve"> folder provides sandboxed development environments where domain teams iterate on new data products without affecting production consumers. Platform services (Shared VPC, Cloud Interconnect, organization policies) reside in a separate </w:t>
      </w:r>
      <w:r w:rsidRPr="00853FE4">
        <w:rPr>
          <w:rFonts w:ascii="Courier New" w:eastAsia="Courier New" w:hAnsi="Courier New" w:cs="Courier New"/>
          <w:color w:val="000000" w:themeColor="text1"/>
          <w:sz w:val="22"/>
          <w:szCs w:val="22"/>
        </w:rPr>
        <w:t>platform</w:t>
      </w:r>
      <w:r w:rsidRPr="00853FE4">
        <w:rPr>
          <w:color w:val="000000" w:themeColor="text1"/>
        </w:rPr>
        <w:t xml:space="preserve"> folder managed by the platform team.</w:t>
      </w:r>
    </w:p>
    <w:p w14:paraId="161BB138" w14:textId="77777777" w:rsidR="007D75A8" w:rsidRPr="00853FE4" w:rsidRDefault="007D75A8">
      <w:pPr>
        <w:pBdr>
          <w:top w:val="nil"/>
          <w:left w:val="nil"/>
          <w:bottom w:val="nil"/>
          <w:right w:val="nil"/>
          <w:between w:val="nil"/>
        </w:pBdr>
        <w:rPr>
          <w:color w:val="000000" w:themeColor="text1"/>
        </w:rPr>
      </w:pPr>
    </w:p>
    <w:p w14:paraId="3F6A7454" w14:textId="77777777" w:rsidR="007D75A8" w:rsidRPr="00853FE4" w:rsidRDefault="00000000">
      <w:pPr>
        <w:rPr>
          <w:color w:val="000000" w:themeColor="text1"/>
        </w:rPr>
      </w:pPr>
      <w:r w:rsidRPr="00853FE4">
        <w:rPr>
          <w:color w:val="000000" w:themeColor="text1"/>
        </w:rPr>
        <w:t>Domain-specific IAM custom roles enforce the principle of least privilege at the domain boundary. The Fishery Monitoring DPO and their team receive a role that permits data product creation, schema management, and quality rule configuration within the Fishery Monitoring project but does not extend to other domains. Consuming roles grant read access to specific data products within the domain, governed by the data contracts and access policies that each data product declares. An example custom role definition for the Fishery Monitoring domain illustrates the specificity required:</w:t>
      </w:r>
    </w:p>
    <w:p w14:paraId="71FDA330" w14:textId="77777777" w:rsidR="007D75A8" w:rsidRPr="00853FE4" w:rsidRDefault="007D75A8">
      <w:pPr>
        <w:pBdr>
          <w:top w:val="nil"/>
          <w:left w:val="nil"/>
          <w:bottom w:val="nil"/>
          <w:right w:val="nil"/>
          <w:between w:val="nil"/>
        </w:pBdr>
        <w:rPr>
          <w:color w:val="000000" w:themeColor="text1"/>
        </w:rPr>
      </w:pPr>
    </w:p>
    <w:p w14:paraId="2A6A5F20" w14:textId="1CD57AE6" w:rsidR="007D75A8" w:rsidRPr="00853FE4" w:rsidRDefault="00000000">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gcloud iam roles create fisheryMonitoringDPO \</w:t>
      </w:r>
    </w:p>
    <w:p w14:paraId="4DD01DAD" w14:textId="77777777" w:rsidR="007D75A8" w:rsidRPr="00853FE4" w:rsidRDefault="00000000">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 xml:space="preserve">  --project=fishery-monitoring-prod \</w:t>
      </w:r>
    </w:p>
    <w:p w14:paraId="440F4186" w14:textId="77777777" w:rsidR="007D75A8" w:rsidRPr="00853FE4" w:rsidRDefault="00000000">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 xml:space="preserve">  --title="Fishery Monitoring Data Product Owner" \</w:t>
      </w:r>
    </w:p>
    <w:p w14:paraId="18519D0E" w14:textId="77777777" w:rsidR="007D75A8" w:rsidRPr="00853FE4" w:rsidRDefault="00000000">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 xml:space="preserve">  --description="Create and manage data products in the Fishery Monitoring domain" \</w:t>
      </w:r>
    </w:p>
    <w:p w14:paraId="0E02E0BB" w14:textId="77777777" w:rsidR="007D75A8" w:rsidRPr="00853FE4" w:rsidRDefault="00000000">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 xml:space="preserve">  --permissions=bigquery.datasets.create,\</w:t>
      </w:r>
    </w:p>
    <w:p w14:paraId="1F7413B8" w14:textId="77777777" w:rsidR="007D75A8" w:rsidRPr="00853FE4" w:rsidRDefault="00000000">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bigquery.tables.create,bigquery.tables.update,\</w:t>
      </w:r>
    </w:p>
    <w:p w14:paraId="43252CA5" w14:textId="77777777" w:rsidR="007D75A8" w:rsidRPr="00853FE4" w:rsidRDefault="00000000">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datacatalog.entries.create,datacatalog.entries.update,\</w:t>
      </w:r>
    </w:p>
    <w:p w14:paraId="042E95A1" w14:textId="77777777" w:rsidR="007D75A8" w:rsidRPr="00853FE4" w:rsidRDefault="00000000">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dataplex.dataQualityRules.create,\</w:t>
      </w:r>
    </w:p>
    <w:p w14:paraId="0A2EF33F" w14:textId="77777777" w:rsidR="007D75A8" w:rsidRPr="00853FE4" w:rsidRDefault="00000000">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monitoring.slos.create,\</w:t>
      </w:r>
    </w:p>
    <w:p w14:paraId="2E82BA53" w14:textId="4FAAB437" w:rsidR="007D75A8" w:rsidRPr="00853FE4" w:rsidRDefault="00000000" w:rsidP="00BB72A8">
      <w:pPr>
        <w:rPr>
          <w:rFonts w:ascii="Roboto Mono" w:eastAsia="Roboto Mono" w:hAnsi="Roboto Mono" w:cs="Roboto Mono"/>
          <w:color w:val="000000" w:themeColor="text1"/>
          <w:sz w:val="20"/>
          <w:szCs w:val="20"/>
        </w:rPr>
      </w:pPr>
      <w:r w:rsidRPr="00853FE4">
        <w:rPr>
          <w:rFonts w:ascii="Roboto Mono" w:eastAsia="Roboto Mono" w:hAnsi="Roboto Mono" w:cs="Roboto Mono"/>
          <w:color w:val="000000" w:themeColor="text1"/>
          <w:sz w:val="20"/>
          <w:szCs w:val="20"/>
        </w:rPr>
        <w:t>storage.buckets.create</w:t>
      </w:r>
    </w:p>
    <w:p w14:paraId="76D9CE8A" w14:textId="77777777" w:rsidR="00BB72A8" w:rsidRPr="00853FE4" w:rsidRDefault="00BB72A8" w:rsidP="00BB72A8">
      <w:pPr>
        <w:rPr>
          <w:rFonts w:ascii="Roboto Mono" w:eastAsia="Roboto Mono" w:hAnsi="Roboto Mono" w:cs="Roboto Mono"/>
          <w:color w:val="000000" w:themeColor="text1"/>
          <w:sz w:val="20"/>
          <w:szCs w:val="20"/>
        </w:rPr>
      </w:pPr>
    </w:p>
    <w:p w14:paraId="6832C7C2" w14:textId="77777777" w:rsidR="007D75A8" w:rsidRPr="00853FE4" w:rsidRDefault="00000000">
      <w:pPr>
        <w:rPr>
          <w:color w:val="000000" w:themeColor="text1"/>
        </w:rPr>
      </w:pPr>
      <w:r w:rsidRPr="00853FE4">
        <w:rPr>
          <w:color w:val="000000" w:themeColor="text1"/>
        </w:rPr>
        <w:t>This role, combined with project-level IAM bindings, ensures that the Fishery Monitoring DPO can independently create and manage EM data products. Meanwhile, organization policies enforced at the folder level guarantee that encryption (CMEK via Cloud KMS), audit logging (Cloud Logging), and network perimeter controls (VPC Service Controls) are inherited by every resource the DPO creates. The DPO exercises autonomy within governance guardrails, a pattern made possible by the computational governance framework described in Section 5.4.</w:t>
      </w:r>
    </w:p>
    <w:p w14:paraId="7F2653DC" w14:textId="77777777" w:rsidR="007D75A8" w:rsidRPr="00853FE4" w:rsidRDefault="007D75A8">
      <w:pPr>
        <w:rPr>
          <w:color w:val="000000" w:themeColor="text1"/>
        </w:rPr>
      </w:pPr>
    </w:p>
    <w:p w14:paraId="7C6C1ED2" w14:textId="77777777" w:rsidR="007D75A8" w:rsidRPr="00853FE4" w:rsidRDefault="00000000">
      <w:pPr>
        <w:pStyle w:val="Heading2"/>
        <w:rPr>
          <w:color w:val="000000" w:themeColor="text1"/>
        </w:rPr>
      </w:pPr>
      <w:bookmarkStart w:id="33" w:name="_xllmjqrzm62e" w:colFirst="0" w:colLast="0"/>
      <w:bookmarkEnd w:id="33"/>
      <w:r w:rsidRPr="00853FE4">
        <w:rPr>
          <w:color w:val="000000" w:themeColor="text1"/>
        </w:rPr>
        <w:t>5.2 Data as a Product: The Electronic Monitoring Example</w:t>
      </w:r>
    </w:p>
    <w:p w14:paraId="5AE760E3" w14:textId="77777777" w:rsidR="007D75A8" w:rsidRPr="00853FE4" w:rsidRDefault="00000000">
      <w:pPr>
        <w:rPr>
          <w:color w:val="000000" w:themeColor="text1"/>
        </w:rPr>
      </w:pPr>
      <w:r w:rsidRPr="00853FE4">
        <w:rPr>
          <w:color w:val="000000" w:themeColor="text1"/>
        </w:rPr>
        <w:t xml:space="preserve">The second principle of data mesh, data as a product, requires a fundamental shift in how analytical data is managed and consumed. Rather than treating data as a byproduct of operational systems that is extracted and loaded into a central repository, organizations must treat data as a first-class product with designated owners, defined quality standards, and explicitly managed lifecycles (Dehghani, 2022). A true data product exhibits six core characteristics: it is discoverable, addressable, trustworthy, self-describing, interoperable, and secure (Dehghani, 2022). To achieve these characteristics, the relationship between data producers and data </w:t>
      </w:r>
      <w:r w:rsidRPr="00853FE4">
        <w:rPr>
          <w:color w:val="000000" w:themeColor="text1"/>
        </w:rPr>
        <w:lastRenderedPageBreak/>
        <w:t>consumers is formalized through data contracts, explicit agreements that guarantee schema stability, data quality, and service-level objectives (Perrin &amp; Broda, 2024). This product thinking extends to the delivery approach, favoring the iterative release of a minimum viable data product over monolithic development cycles, followed by a managed lifecycle spanning creation, publication, discovery, consumption, and eventual deprecation.</w:t>
      </w:r>
    </w:p>
    <w:p w14:paraId="797CD561" w14:textId="77777777" w:rsidR="007D75A8" w:rsidRPr="00853FE4" w:rsidRDefault="00000000">
      <w:pPr>
        <w:pStyle w:val="Heading3"/>
        <w:rPr>
          <w:color w:val="000000" w:themeColor="text1"/>
        </w:rPr>
      </w:pPr>
      <w:bookmarkStart w:id="34" w:name="_qtjjxrvwfvb2" w:colFirst="0" w:colLast="0"/>
      <w:bookmarkEnd w:id="34"/>
      <w:r w:rsidRPr="00853FE4">
        <w:rPr>
          <w:color w:val="000000" w:themeColor="text1"/>
        </w:rPr>
        <w:t>Transforming Ad Hoc Extraction to Contractual Reliability</w:t>
      </w:r>
    </w:p>
    <w:p w14:paraId="4512E02D" w14:textId="77777777" w:rsidR="007D75A8" w:rsidRPr="00853FE4" w:rsidRDefault="00000000">
      <w:pPr>
        <w:rPr>
          <w:color w:val="000000" w:themeColor="text1"/>
        </w:rPr>
      </w:pPr>
      <w:r w:rsidRPr="00853FE4">
        <w:rPr>
          <w:color w:val="000000" w:themeColor="text1"/>
        </w:rPr>
        <w:t>In the traditional NOAA Fisheries data ecosystem described in Section 2.2, downstream consumers acquire data through ad hoc extractions, undocumented database views, or manual file transfers. If an operational database schema changes, the downstream stock assessment models that depend on that schema silently fail. Data as a product resolves this fragility by establishing a boundary between the internal complexity of a domain's operational systems and the clean, standardized interfaces it exposes to the rest of the agency. The operational systems may be refactored, upgraded, or migrated to the cloud, but the data product interface remains stable, shielded by an anti-corruption layer (Evans, 2003) and governed by versioned data contracts. For NOAA Fisheries, this means that a stock assessment scientist no longer needs to understand the internal data model of an observer program's legacy database. They interact only with a versioned, documented data product that guarantees a specific schema and quality threshold.</w:t>
      </w:r>
    </w:p>
    <w:p w14:paraId="002EF472" w14:textId="77777777" w:rsidR="007D75A8" w:rsidRPr="00853FE4" w:rsidRDefault="00000000">
      <w:pPr>
        <w:pStyle w:val="Heading3"/>
        <w:rPr>
          <w:color w:val="000000" w:themeColor="text1"/>
        </w:rPr>
      </w:pPr>
      <w:bookmarkStart w:id="35" w:name="_i4rovbsowfsh" w:colFirst="0" w:colLast="0"/>
      <w:bookmarkEnd w:id="35"/>
      <w:r w:rsidRPr="00853FE4">
        <w:rPr>
          <w:color w:val="000000" w:themeColor="text1"/>
        </w:rPr>
        <w:t>The Electronic Monitoring Data Product</w:t>
      </w:r>
    </w:p>
    <w:p w14:paraId="24646194" w14:textId="77777777" w:rsidR="007D75A8" w:rsidRPr="00853FE4" w:rsidRDefault="00000000">
      <w:pPr>
        <w:rPr>
          <w:color w:val="000000" w:themeColor="text1"/>
        </w:rPr>
      </w:pPr>
      <w:r w:rsidRPr="00853FE4">
        <w:rPr>
          <w:color w:val="000000" w:themeColor="text1"/>
        </w:rPr>
        <w:t>The Electronic Monitoring (EM) program provides a concrete demonstration of these principles. EM systems deploy cameras, sensors, and global positioning systems on commercial fishing vessels to monitor catch, discards, and protected species interactions. The raw outputs, terabytes of video footage and sensor logs per trip, are processed by reviewers to generate structured data. In a data mesh architecture, this resulting information is formalized as the EM data product, owned by the Fishery Monitoring domain.</w:t>
      </w:r>
    </w:p>
    <w:p w14:paraId="3A002C08" w14:textId="77777777" w:rsidR="007D75A8" w:rsidRPr="00853FE4" w:rsidRDefault="007D75A8">
      <w:pPr>
        <w:pBdr>
          <w:top w:val="nil"/>
          <w:left w:val="nil"/>
          <w:bottom w:val="nil"/>
          <w:right w:val="nil"/>
          <w:between w:val="nil"/>
        </w:pBdr>
        <w:rPr>
          <w:color w:val="000000" w:themeColor="text1"/>
        </w:rPr>
      </w:pPr>
    </w:p>
    <w:p w14:paraId="33A5F8C9" w14:textId="77777777" w:rsidR="007D75A8" w:rsidRPr="00853FE4" w:rsidRDefault="00000000">
      <w:pPr>
        <w:rPr>
          <w:b/>
          <w:bCs/>
          <w:color w:val="000000" w:themeColor="text1"/>
          <w:sz w:val="22"/>
          <w:szCs w:val="22"/>
        </w:rPr>
      </w:pPr>
      <w:r w:rsidRPr="00853FE4">
        <w:rPr>
          <w:color w:val="000000" w:themeColor="text1"/>
        </w:rPr>
        <w:t xml:space="preserve">Before examining the EM data product's internal structure, it is essential to understand its position within the broader domain ecosystem. Fishery Monitoring, highlighted as the producer domain, owns the EM data product and fans out governed views to three consumer domains (Stock Assessment, Protected Species, and Enforcement) while cross-cutting reference data products serve as shared authoritative sources consumed by all domains (see </w:t>
      </w:r>
      <w:hyperlink w:anchor="_dfftmcyw1ajj">
        <w:r w:rsidRPr="00853FE4">
          <w:rPr>
            <w:color w:val="000000" w:themeColor="text1"/>
            <w:u w:val="single"/>
          </w:rPr>
          <w:t>Figure 2</w:t>
        </w:r>
      </w:hyperlink>
      <w:r w:rsidRPr="00853FE4">
        <w:rPr>
          <w:color w:val="000000" w:themeColor="text1"/>
        </w:rPr>
        <w:t>).</w:t>
      </w:r>
    </w:p>
    <w:p w14:paraId="0146149C" w14:textId="77777777" w:rsidR="007D75A8" w:rsidRPr="00853FE4" w:rsidRDefault="007D75A8">
      <w:pPr>
        <w:pBdr>
          <w:top w:val="nil"/>
          <w:left w:val="nil"/>
          <w:bottom w:val="nil"/>
          <w:right w:val="nil"/>
          <w:between w:val="nil"/>
        </w:pBdr>
        <w:rPr>
          <w:color w:val="000000" w:themeColor="text1"/>
        </w:rPr>
      </w:pPr>
    </w:p>
    <w:p w14:paraId="78915320" w14:textId="77777777" w:rsidR="007D75A8" w:rsidRPr="00853FE4" w:rsidRDefault="00000000">
      <w:pPr>
        <w:rPr>
          <w:color w:val="000000" w:themeColor="text1"/>
        </w:rPr>
      </w:pPr>
      <w:r w:rsidRPr="00853FE4">
        <w:rPr>
          <w:color w:val="000000" w:themeColor="text1"/>
        </w:rPr>
        <w:t xml:space="preserve">The end-to-end journey of EM data from upstream sources through the Fishery Monitoring domain to downstream consumers, with platform services enforcing governance across the entire pipeline, is shown in </w:t>
      </w:r>
      <w:hyperlink w:anchor="_hd0ghxamiffe">
        <w:r w:rsidRPr="00853FE4">
          <w:rPr>
            <w:color w:val="000000" w:themeColor="text1"/>
            <w:u w:val="single"/>
          </w:rPr>
          <w:t>Figure 3</w:t>
        </w:r>
      </w:hyperlink>
      <w:r w:rsidRPr="00853FE4">
        <w:rPr>
          <w:color w:val="000000" w:themeColor="text1"/>
        </w:rPr>
        <w:t>.</w:t>
      </w:r>
    </w:p>
    <w:p w14:paraId="7A2EE424" w14:textId="77777777" w:rsidR="007D75A8" w:rsidRPr="00853FE4" w:rsidRDefault="007D75A8">
      <w:pPr>
        <w:rPr>
          <w:color w:val="000000" w:themeColor="text1"/>
        </w:rPr>
      </w:pPr>
    </w:p>
    <w:p w14:paraId="73F3257F" w14:textId="77777777" w:rsidR="007D75A8" w:rsidRPr="00853FE4" w:rsidRDefault="00000000">
      <w:pPr>
        <w:rPr>
          <w:color w:val="000000" w:themeColor="text1"/>
        </w:rPr>
      </w:pPr>
      <w:r w:rsidRPr="00853FE4">
        <w:rPr>
          <w:color w:val="000000" w:themeColor="text1"/>
        </w:rPr>
        <w:t>The internal anatomy of the EM data product consists of several interrelated components, each corresponding to a specific stage in the federally governed EM data lifecycle. The product includes trip metadata, raw video footage stored as archived objects, reviewer notings that index specific video segments, sensor data documenting gear deployment, logbook reconciliation records, and verified species identification records. These components are packaged as a single, cohesive product rather than scattered across disconnected storage systems, but they progress through three distinct lifecycle stages defined by federal retention authorities, each mapped to specific GCP services and governance policies.</w:t>
      </w:r>
    </w:p>
    <w:p w14:paraId="51F2730B" w14:textId="77777777" w:rsidR="007D75A8" w:rsidRPr="00853FE4" w:rsidRDefault="007D75A8">
      <w:pPr>
        <w:pBdr>
          <w:top w:val="nil"/>
          <w:left w:val="nil"/>
          <w:bottom w:val="nil"/>
          <w:right w:val="nil"/>
          <w:between w:val="nil"/>
        </w:pBdr>
        <w:rPr>
          <w:color w:val="000000" w:themeColor="text1"/>
        </w:rPr>
      </w:pPr>
    </w:p>
    <w:p w14:paraId="5D345B37" w14:textId="77777777" w:rsidR="007D75A8" w:rsidRPr="00853FE4" w:rsidRDefault="00000000">
      <w:pPr>
        <w:rPr>
          <w:color w:val="000000" w:themeColor="text1"/>
        </w:rPr>
      </w:pPr>
      <w:r w:rsidRPr="00853FE4">
        <w:rPr>
          <w:color w:val="000000" w:themeColor="text1"/>
        </w:rPr>
        <w:t>During Stage 1, the fishing year and monitoring period (Alger, 2020), EM systems capture raw video, sensor data, and metadata during fishing operations. Service providers perform initial review and processing, and NOAA Fisheries completes catch reconciliation and quota monitoring. At this stage, raw video and sensor data reside in Cloud Storage Standard tier and are ingested through Cloud Run APIs. The duration of Stage 1 is variable and program-specific, reflecting differences in fishing year start dates and the time required to reconcile fishery-dependent data across multiple data sources.</w:t>
      </w:r>
    </w:p>
    <w:p w14:paraId="3C9C2E3D" w14:textId="77777777" w:rsidR="007D75A8" w:rsidRPr="00853FE4" w:rsidRDefault="007D75A8">
      <w:pPr>
        <w:pBdr>
          <w:top w:val="nil"/>
          <w:left w:val="nil"/>
          <w:bottom w:val="nil"/>
          <w:right w:val="nil"/>
          <w:between w:val="nil"/>
        </w:pBdr>
        <w:rPr>
          <w:color w:val="000000" w:themeColor="text1"/>
        </w:rPr>
      </w:pPr>
    </w:p>
    <w:p w14:paraId="4EA6AB28" w14:textId="77777777" w:rsidR="007D75A8" w:rsidRPr="00853FE4" w:rsidRDefault="00000000">
      <w:pPr>
        <w:rPr>
          <w:color w:val="000000" w:themeColor="text1"/>
        </w:rPr>
      </w:pPr>
      <w:r w:rsidRPr="00853FE4">
        <w:rPr>
          <w:color w:val="000000" w:themeColor="text1"/>
        </w:rPr>
        <w:t>Stage 2, the 12-month minimum retention period (Alger, 2020), begins when monitoring is complete. Structured trip reports, verified species identification records, and reviewed notings become the primary data product surface. These structured components are implemented in BigQuery, where they are partitioned and clustered for analytical query patterns. The data product is registered in Data Catalog for discovery, quality rules are enforced through Dataplex, and row-level access controls in IAM enforce MSA confidentiality protections. Cloud Storage lifecycle policies automatically transition raw video from Standard to Archive storage after 90 days to optimize costs while maintaining availability for program compliance and service provider performance review.</w:t>
      </w:r>
    </w:p>
    <w:p w14:paraId="6B0104EE" w14:textId="77777777" w:rsidR="007D75A8" w:rsidRPr="00853FE4" w:rsidRDefault="007D75A8">
      <w:pPr>
        <w:pBdr>
          <w:top w:val="nil"/>
          <w:left w:val="nil"/>
          <w:bottom w:val="nil"/>
          <w:right w:val="nil"/>
          <w:between w:val="nil"/>
        </w:pBdr>
        <w:rPr>
          <w:color w:val="000000" w:themeColor="text1"/>
        </w:rPr>
      </w:pPr>
    </w:p>
    <w:p w14:paraId="212711C7" w14:textId="77777777" w:rsidR="007D75A8" w:rsidRPr="00853FE4" w:rsidRDefault="00000000">
      <w:pPr>
        <w:rPr>
          <w:color w:val="000000" w:themeColor="text1"/>
        </w:rPr>
      </w:pPr>
      <w:r w:rsidRPr="00853FE4">
        <w:rPr>
          <w:color w:val="000000" w:themeColor="text1"/>
        </w:rPr>
        <w:t>Stage 3, the NARA federal records retention period (National Archives and Records Administration [NARA], 2020), governs data received by NOAA Fisheries as federal records. Pre-processed EM files are classified by NARA as temporary intermediary records and are retained for five years after processing to satisfy the enforcement statute of limitations, after which they are destroyed. At this stage, Cloud Storage lifecycle policies enforce the destruction schedule, and Cloud Logging maintains an immutable audit trail of enforcement access during the retention window. The NARA appraisal explicitly notes that these pre-processed files have little or no long-term research value, as the summarized data they generate is permanently preserved in Observer Program databases under separate schedule authority.</w:t>
      </w:r>
    </w:p>
    <w:p w14:paraId="72E1C7BF" w14:textId="77777777" w:rsidR="007D75A8" w:rsidRPr="00853FE4" w:rsidRDefault="007D75A8">
      <w:pPr>
        <w:pBdr>
          <w:top w:val="nil"/>
          <w:left w:val="nil"/>
          <w:bottom w:val="nil"/>
          <w:right w:val="nil"/>
          <w:between w:val="nil"/>
        </w:pBdr>
        <w:rPr>
          <w:color w:val="000000" w:themeColor="text1"/>
        </w:rPr>
      </w:pPr>
    </w:p>
    <w:p w14:paraId="5AB8DD07" w14:textId="77777777" w:rsidR="007D75A8" w:rsidRPr="00853FE4" w:rsidRDefault="00000000">
      <w:pPr>
        <w:rPr>
          <w:color w:val="000000" w:themeColor="text1"/>
        </w:rPr>
      </w:pPr>
      <w:r w:rsidRPr="00853FE4">
        <w:rPr>
          <w:color w:val="000000" w:themeColor="text1"/>
        </w:rPr>
        <w:t>To support large-scale analytical queries, the structured data is implemented in Google Cloud Platform (GCP) using BigQuery. The schema is optimized for the temporal and spatial query patterns common in fisheries science, utilizing partitioning and clustering to minimize query costs and improve performance. The following snippet illustrates the structural specification of the core EM trip report table:</w:t>
      </w:r>
    </w:p>
    <w:p w14:paraId="01042BF1" w14:textId="77777777" w:rsidR="007D75A8" w:rsidRPr="00853FE4" w:rsidRDefault="007D75A8">
      <w:pPr>
        <w:pBdr>
          <w:top w:val="nil"/>
          <w:left w:val="nil"/>
          <w:bottom w:val="nil"/>
          <w:right w:val="nil"/>
          <w:between w:val="nil"/>
        </w:pBdr>
        <w:rPr>
          <w:color w:val="000000" w:themeColor="text1"/>
        </w:rPr>
      </w:pPr>
    </w:p>
    <w:p w14:paraId="18165A3A" w14:textId="44D87949"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CREATE TABLE fishery_monitoring.em_trip_reports (</w:t>
      </w:r>
    </w:p>
    <w:p w14:paraId="2C9013DA"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trip_id STRING OPTIONS(description="Unique identifier for the EM monitored trip"),</w:t>
      </w:r>
    </w:p>
    <w:p w14:paraId="2E565AB1"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vessel_id STRING OPTIONS(description="Coast Guard or state vessel registration number"),</w:t>
      </w:r>
    </w:p>
    <w:p w14:paraId="41E1F4E1"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trip_start_timestamp TIMESTAMP OPTIONS(description="Time the vessel departed port"),</w:t>
      </w:r>
    </w:p>
    <w:p w14:paraId="147C4341"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trip_end_timestamp TIMESTAMP OPTIONS(description="Time the vessel returned to port"),</w:t>
      </w:r>
    </w:p>
    <w:p w14:paraId="7E2CD8DF"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region STRING OPTIONS(description="NOAA Fisheries management region"),</w:t>
      </w:r>
    </w:p>
    <w:p w14:paraId="1988CF10"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fishery STRING OPTIONS(description="Target fishery designation"),</w:t>
      </w:r>
    </w:p>
    <w:p w14:paraId="307C4971"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 [Program-specific catch and effort data fields inserted here],</w:t>
      </w:r>
    </w:p>
    <w:p w14:paraId="2B1A4978"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reviewer_id STRING OPTIONS(description="Identifier for the EM service provider reviewer")</w:t>
      </w:r>
    </w:p>
    <w:p w14:paraId="2A815D22"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w:t>
      </w:r>
    </w:p>
    <w:p w14:paraId="3FDEA157"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PARTITION BY DATE(trip_start_timestamp)</w:t>
      </w:r>
    </w:p>
    <w:p w14:paraId="5AE06517"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CLUSTER BY region, fishery;</w:t>
      </w:r>
    </w:p>
    <w:p w14:paraId="6D92FF11" w14:textId="3FB1B40B" w:rsidR="007D75A8" w:rsidRPr="00853FE4" w:rsidRDefault="00000000">
      <w:pPr>
        <w:pStyle w:val="Heading3"/>
        <w:rPr>
          <w:color w:val="000000" w:themeColor="text1"/>
        </w:rPr>
      </w:pPr>
      <w:bookmarkStart w:id="36" w:name="_rwrgp2fq5wt7" w:colFirst="0" w:colLast="0"/>
      <w:bookmarkEnd w:id="36"/>
      <w:r w:rsidRPr="00853FE4">
        <w:rPr>
          <w:color w:val="000000" w:themeColor="text1"/>
        </w:rPr>
        <w:t>The Data Contract and Metadata Specification</w:t>
      </w:r>
    </w:p>
    <w:p w14:paraId="3B50159A" w14:textId="77777777" w:rsidR="007D75A8" w:rsidRPr="00853FE4" w:rsidRDefault="00000000">
      <w:pPr>
        <w:rPr>
          <w:color w:val="000000" w:themeColor="text1"/>
        </w:rPr>
      </w:pPr>
      <w:r w:rsidRPr="00853FE4">
        <w:rPr>
          <w:color w:val="000000" w:themeColor="text1"/>
        </w:rPr>
        <w:t>The reliability of the EM data product is guaranteed by its data contract. The contract is not a passive document but a computational artifact enforced by the platform. The contract specifies schema version 1.2 and defines stringent service-level objectives: data completeness must exceed 99% of all deployed trips, species identification accuracy must exceed 95% at the family level and 90% at the species level, and data freshness must guarantee availability within 30 days of trip completion to support upcoming Council management cycles. The contract also establishes a strict versioning policy, requiring a 90-day deprecation notice for any breaking schema changes, and defines row-level access controls to ensure that consuming systems only access authorized records.</w:t>
      </w:r>
    </w:p>
    <w:p w14:paraId="0A599A7A" w14:textId="77777777" w:rsidR="007D75A8" w:rsidRPr="00853FE4" w:rsidRDefault="007D75A8">
      <w:pPr>
        <w:pBdr>
          <w:top w:val="nil"/>
          <w:left w:val="nil"/>
          <w:bottom w:val="nil"/>
          <w:right w:val="nil"/>
          <w:between w:val="nil"/>
        </w:pBdr>
        <w:rPr>
          <w:color w:val="000000" w:themeColor="text1"/>
        </w:rPr>
      </w:pPr>
    </w:p>
    <w:p w14:paraId="2A87F285" w14:textId="77777777" w:rsidR="007D75A8" w:rsidRPr="00853FE4" w:rsidRDefault="00000000">
      <w:pPr>
        <w:rPr>
          <w:color w:val="000000" w:themeColor="text1"/>
        </w:rPr>
      </w:pPr>
      <w:r w:rsidRPr="00853FE4">
        <w:rPr>
          <w:color w:val="000000" w:themeColor="text1"/>
        </w:rPr>
        <w:t xml:space="preserve">Beyond the structural contract, the EM data product is highly self-describing through its metadata specification. Registered in GCP Data Catalog, the metadata includes the specific video review methodology applied, the quality assurance procedures followed by the reviewing service provider, contact information for the Data Product Owner, and the precise temporal and spatial </w:t>
      </w:r>
      <w:r w:rsidRPr="00853FE4">
        <w:rPr>
          <w:color w:val="000000" w:themeColor="text1"/>
        </w:rPr>
        <w:lastRenderedPageBreak/>
        <w:t>coverage of the dataset. This metadata enables discovery without requiring direct communication with the producing team.</w:t>
      </w:r>
    </w:p>
    <w:p w14:paraId="3C6F94A2" w14:textId="77777777" w:rsidR="007D75A8" w:rsidRPr="00853FE4" w:rsidRDefault="007D75A8">
      <w:pPr>
        <w:rPr>
          <w:color w:val="000000" w:themeColor="text1"/>
        </w:rPr>
      </w:pPr>
    </w:p>
    <w:p w14:paraId="1FA5ED29" w14:textId="77777777" w:rsidR="007D75A8" w:rsidRPr="00853FE4" w:rsidRDefault="00000000">
      <w:pPr>
        <w:rPr>
          <w:color w:val="000000" w:themeColor="text1"/>
        </w:rPr>
      </w:pPr>
      <w:r w:rsidRPr="00853FE4">
        <w:rPr>
          <w:color w:val="000000" w:themeColor="text1"/>
        </w:rPr>
        <w:t xml:space="preserve">The internal architecture of the EM data product is organized across three layers (storage, interface, and governance) with six descriptive storage components that follow the real EM workflow from capture through processing to publication (see </w:t>
      </w:r>
      <w:hyperlink w:anchor="_f4oainud61c4">
        <w:r w:rsidRPr="00853FE4">
          <w:rPr>
            <w:color w:val="000000" w:themeColor="text1"/>
            <w:u w:val="single"/>
          </w:rPr>
          <w:t>Figure 4</w:t>
        </w:r>
      </w:hyperlink>
      <w:r w:rsidRPr="00853FE4">
        <w:rPr>
          <w:color w:val="000000" w:themeColor="text1"/>
        </w:rPr>
        <w:t xml:space="preserve">). Complementing the internal architecture, </w:t>
      </w:r>
      <w:hyperlink w:anchor="_2jpqgldl5ad">
        <w:r w:rsidRPr="00853FE4">
          <w:rPr>
            <w:color w:val="000000" w:themeColor="text1"/>
            <w:u w:val="single"/>
          </w:rPr>
          <w:t>Figure 5</w:t>
        </w:r>
      </w:hyperlink>
      <w:r w:rsidRPr="00853FE4">
        <w:rPr>
          <w:color w:val="000000" w:themeColor="text1"/>
        </w:rPr>
        <w:t xml:space="preserve"> provides a higher-level conceptual view of the EM data product as a bounded unit defined by its schema, contract, metadata, access methods, and downstream consumers.</w:t>
      </w:r>
    </w:p>
    <w:p w14:paraId="3B87FD5C" w14:textId="77777777" w:rsidR="007D75A8" w:rsidRPr="00853FE4" w:rsidRDefault="00000000">
      <w:pPr>
        <w:pStyle w:val="Heading3"/>
        <w:rPr>
          <w:color w:val="000000" w:themeColor="text1"/>
        </w:rPr>
      </w:pPr>
      <w:bookmarkStart w:id="37" w:name="_gq5rx3xvz7y1" w:colFirst="0" w:colLast="0"/>
      <w:bookmarkEnd w:id="37"/>
      <w:r w:rsidRPr="00853FE4">
        <w:rPr>
          <w:color w:val="000000" w:themeColor="text1"/>
        </w:rPr>
        <w:t>Consumption Patterns</w:t>
      </w:r>
    </w:p>
    <w:p w14:paraId="6B0F867D" w14:textId="77777777" w:rsidR="007D75A8" w:rsidRPr="00853FE4" w:rsidRDefault="00000000">
      <w:pPr>
        <w:rPr>
          <w:color w:val="000000" w:themeColor="text1"/>
        </w:rPr>
      </w:pPr>
      <w:r w:rsidRPr="00853FE4">
        <w:rPr>
          <w:color w:val="000000" w:themeColor="text1"/>
        </w:rPr>
        <w:t>The design of the EM data product is driven by the needs of its consumers, but consumption remains program-specific and purpose-specific. While the Stock Assessment domain might query the product for aggregated catch composition to calculate total fishing mortality for abundance estimation models, access is not automatically granted across the mesh. For example, even if the Protected Species and Bycatch domain possesses the technical ability to query the data for interaction events, they may not be permitted to do so if the EM program's data was collected solely for catch and effort quota monitoring. The Enforcement domain accesses the product for vessel-level compliance checks to investigate potential regulatory violations, provided that use aligns with the specific data collection authority. Each consumption pattern is served by the same underlying product architecture, but access is strictly governed by the contract's rules, ensuring that Magnuson-Stevens Act confidentiality provisions and programmatic use restrictions are enforced.</w:t>
      </w:r>
    </w:p>
    <w:p w14:paraId="4DA761F8" w14:textId="77777777" w:rsidR="007D75A8" w:rsidRPr="00853FE4" w:rsidRDefault="00000000">
      <w:pPr>
        <w:pStyle w:val="Heading3"/>
        <w:rPr>
          <w:color w:val="000000" w:themeColor="text1"/>
        </w:rPr>
      </w:pPr>
      <w:bookmarkStart w:id="38" w:name="_js9eqfjmvtju" w:colFirst="0" w:colLast="0"/>
      <w:bookmarkEnd w:id="38"/>
      <w:r w:rsidRPr="00853FE4">
        <w:rPr>
          <w:color w:val="000000" w:themeColor="text1"/>
        </w:rPr>
        <w:t>Implementation Specificity</w:t>
      </w:r>
    </w:p>
    <w:p w14:paraId="29664AFA" w14:textId="77777777" w:rsidR="007D75A8" w:rsidRPr="00853FE4" w:rsidRDefault="00000000">
      <w:pPr>
        <w:rPr>
          <w:color w:val="000000" w:themeColor="text1"/>
        </w:rPr>
      </w:pPr>
      <w:r w:rsidRPr="00853FE4">
        <w:rPr>
          <w:color w:val="000000" w:themeColor="text1"/>
        </w:rPr>
        <w:t>The implementation of the EM data product relies on a composition of GCP services. BigQuery houses the structured schemas and analytical views. Cloud Storage provides cost-effective, tiered storage for the raw video footage, utilizing lifecycle policies to transition objects to Archive storage after 90 days. Data Catalog serves as the registry for discovery and metadata management. Dataplex automates data quality profiling, verifying that species codes match the authoritative taxonomy and that geographic coordinates fall within valid regional boundaries.</w:t>
      </w:r>
    </w:p>
    <w:p w14:paraId="5457112A" w14:textId="77777777" w:rsidR="007D75A8" w:rsidRPr="00853FE4" w:rsidRDefault="007D75A8">
      <w:pPr>
        <w:pBdr>
          <w:top w:val="nil"/>
          <w:left w:val="nil"/>
          <w:bottom w:val="nil"/>
          <w:right w:val="nil"/>
          <w:between w:val="nil"/>
        </w:pBdr>
        <w:rPr>
          <w:color w:val="000000" w:themeColor="text1"/>
        </w:rPr>
      </w:pPr>
    </w:p>
    <w:p w14:paraId="2B3A68E0" w14:textId="77777777" w:rsidR="007D75A8" w:rsidRPr="00853FE4" w:rsidRDefault="00000000">
      <w:pPr>
        <w:rPr>
          <w:color w:val="000000" w:themeColor="text1"/>
        </w:rPr>
      </w:pPr>
      <w:r w:rsidRPr="00853FE4">
        <w:rPr>
          <w:color w:val="000000" w:themeColor="text1"/>
        </w:rPr>
        <w:t>Infrastructure as code is used to deploy the data product consistently. A Terraform fragment illustrates how the data product is provisioned within the Fishery Monitoring domain's GCP project, defining the dataset and attaching the necessary metadata:</w:t>
      </w:r>
    </w:p>
    <w:p w14:paraId="7AD6336F" w14:textId="77777777" w:rsidR="007D75A8" w:rsidRPr="00853FE4" w:rsidRDefault="007D75A8">
      <w:pPr>
        <w:pBdr>
          <w:top w:val="nil"/>
          <w:left w:val="nil"/>
          <w:bottom w:val="nil"/>
          <w:right w:val="nil"/>
          <w:between w:val="nil"/>
        </w:pBdr>
        <w:rPr>
          <w:color w:val="000000" w:themeColor="text1"/>
        </w:rPr>
      </w:pPr>
    </w:p>
    <w:p w14:paraId="06803645" w14:textId="08CF40E8"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resource "google_bigquery_dataset" "em_data_product" {</w:t>
      </w:r>
    </w:p>
    <w:p w14:paraId="7FAE9BCD"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lastRenderedPageBreak/>
        <w:t xml:space="preserve">  dataset_id                  = "electronic_monitoring_v1"</w:t>
      </w:r>
    </w:p>
    <w:p w14:paraId="689C0427"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friendly_name               = "Electronic Monitoring Trip Records"</w:t>
      </w:r>
    </w:p>
    <w:p w14:paraId="44582F99"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description                 = "Validated EM data product containing trip metadata and species IDs"</w:t>
      </w:r>
    </w:p>
    <w:p w14:paraId="0626DBD9"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location                    = "US"</w:t>
      </w:r>
    </w:p>
    <w:p w14:paraId="1BCCD074"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project                     = "fishery-monitoring-prod"</w:t>
      </w:r>
    </w:p>
    <w:p w14:paraId="1B65A399"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w:t>
      </w:r>
    </w:p>
    <w:p w14:paraId="2541D390"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labels = {</w:t>
      </w:r>
    </w:p>
    <w:p w14:paraId="695E10E1"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domain       = "fishery_monitoring"</w:t>
      </w:r>
    </w:p>
    <w:p w14:paraId="58BA7236"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data_product = "electronic_monitoring"</w:t>
      </w:r>
    </w:p>
    <w:p w14:paraId="03BC5FBB"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cost_center  = "ost_national_em"</w:t>
      </w:r>
    </w:p>
    <w:p w14:paraId="6CB141CD" w14:textId="77777777"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 xml:space="preserve">  }</w:t>
      </w:r>
    </w:p>
    <w:p w14:paraId="29BB4872" w14:textId="36306673" w:rsidR="007D75A8" w:rsidRPr="00853FE4" w:rsidRDefault="00000000">
      <w:pPr>
        <w:rPr>
          <w:rFonts w:ascii="Roboto Mono" w:eastAsia="Roboto Mono" w:hAnsi="Roboto Mono" w:cs="Roboto Mono"/>
          <w:color w:val="000000" w:themeColor="text1"/>
          <w:sz w:val="18"/>
          <w:szCs w:val="18"/>
        </w:rPr>
      </w:pPr>
      <w:r w:rsidRPr="00853FE4">
        <w:rPr>
          <w:rFonts w:ascii="Roboto Mono" w:eastAsia="Roboto Mono" w:hAnsi="Roboto Mono" w:cs="Roboto Mono"/>
          <w:color w:val="000000" w:themeColor="text1"/>
          <w:sz w:val="18"/>
          <w:szCs w:val="18"/>
        </w:rPr>
        <w:t>}</w:t>
      </w:r>
    </w:p>
    <w:p w14:paraId="10D70041" w14:textId="77777777" w:rsidR="007D75A8" w:rsidRPr="00853FE4" w:rsidRDefault="00000000">
      <w:pPr>
        <w:pStyle w:val="Heading2"/>
        <w:rPr>
          <w:color w:val="000000" w:themeColor="text1"/>
        </w:rPr>
      </w:pPr>
      <w:bookmarkStart w:id="39" w:name="_xbh49z8scqj1" w:colFirst="0" w:colLast="0"/>
      <w:bookmarkEnd w:id="39"/>
      <w:r w:rsidRPr="00853FE4">
        <w:rPr>
          <w:color w:val="000000" w:themeColor="text1"/>
        </w:rPr>
        <w:t>5.3 The Self-Serve Data Platform</w:t>
      </w:r>
    </w:p>
    <w:p w14:paraId="233171FE" w14:textId="77777777" w:rsidR="007D75A8" w:rsidRPr="00853FE4" w:rsidRDefault="00000000">
      <w:pPr>
        <w:rPr>
          <w:color w:val="000000" w:themeColor="text1"/>
        </w:rPr>
      </w:pPr>
      <w:r w:rsidRPr="00853FE4">
        <w:rPr>
          <w:color w:val="000000" w:themeColor="text1"/>
        </w:rPr>
        <w:t>The third principle of data mesh, the self-serve data platform, resolves the tension between decentralized domain autonomy and enterprise standardization. If every domain were required to build and operate its own infrastructure from scratch, the resulting ecosystem would be prohibitively expensive, insecure, and disconnected (Perrin &amp; Broda, 2024). Instead, the reference architecture proposes a centralized platform that provides shared infrastructure, enabling domains to operate autonomously without managing underlying cloud complexity.</w:t>
      </w:r>
    </w:p>
    <w:p w14:paraId="3AEECF7A" w14:textId="77777777" w:rsidR="007D75A8" w:rsidRPr="00853FE4" w:rsidRDefault="00000000">
      <w:pPr>
        <w:pStyle w:val="Heading3"/>
        <w:rPr>
          <w:color w:val="000000" w:themeColor="text1"/>
        </w:rPr>
      </w:pPr>
      <w:bookmarkStart w:id="40" w:name="_6mka4le5mbx2" w:colFirst="0" w:colLast="0"/>
      <w:bookmarkEnd w:id="40"/>
      <w:r w:rsidRPr="00853FE4">
        <w:rPr>
          <w:color w:val="000000" w:themeColor="text1"/>
        </w:rPr>
        <w:t>Platform as a Product</w:t>
      </w:r>
    </w:p>
    <w:p w14:paraId="769A499E" w14:textId="77777777" w:rsidR="007D75A8" w:rsidRPr="00853FE4" w:rsidRDefault="00000000">
      <w:pPr>
        <w:rPr>
          <w:color w:val="000000" w:themeColor="text1"/>
        </w:rPr>
      </w:pPr>
      <w:r w:rsidRPr="00853FE4">
        <w:rPr>
          <w:color w:val="000000" w:themeColor="text1"/>
        </w:rPr>
        <w:t>In this architecture, the platform itself is managed as a product. The platform team serves the domain teams as its primary customers, measuring success by the speed and security with which domains can publish and consume data products. To achieve this, the platform team must possess a distinct blend of technical specialties: cloud architects to design the landing zone, site reliability engineers (SREs) to ensure operational excellence, security engineers to implement computational governance, and platform product managers to gather requirements from Data Product Owners. This team builds "paved roads," automated, secure-by-default templates that domains use to deploy infrastructure without requiring deep cloud expertise.</w:t>
      </w:r>
    </w:p>
    <w:p w14:paraId="18072B7C" w14:textId="77777777" w:rsidR="007D75A8" w:rsidRPr="00853FE4" w:rsidRDefault="007D75A8">
      <w:pPr>
        <w:pBdr>
          <w:top w:val="nil"/>
          <w:left w:val="nil"/>
          <w:bottom w:val="nil"/>
          <w:right w:val="nil"/>
          <w:between w:val="nil"/>
        </w:pBdr>
        <w:rPr>
          <w:color w:val="000000" w:themeColor="text1"/>
        </w:rPr>
      </w:pPr>
    </w:p>
    <w:p w14:paraId="661BFBE7" w14:textId="77777777" w:rsidR="007D75A8" w:rsidRPr="00853FE4" w:rsidRDefault="00000000">
      <w:pPr>
        <w:rPr>
          <w:color w:val="000000" w:themeColor="text1"/>
        </w:rPr>
      </w:pPr>
      <w:r w:rsidRPr="00853FE4">
        <w:rPr>
          <w:color w:val="000000" w:themeColor="text1"/>
        </w:rPr>
        <w:t>The platform provides three capability tiers: foundation services (networking, identity, encryption), data-specific services (storage, querying, cataloging), and developer experience services (CI/CD pipelines, automated provisioning templates).</w:t>
      </w:r>
    </w:p>
    <w:p w14:paraId="5A9BAE2C" w14:textId="77777777" w:rsidR="007D75A8" w:rsidRPr="00853FE4" w:rsidRDefault="00000000">
      <w:pPr>
        <w:pStyle w:val="Heading3"/>
        <w:rPr>
          <w:color w:val="000000" w:themeColor="text1"/>
        </w:rPr>
      </w:pPr>
      <w:bookmarkStart w:id="41" w:name="_uzrvxvbaxt3k" w:colFirst="0" w:colLast="0"/>
      <w:bookmarkEnd w:id="41"/>
      <w:r w:rsidRPr="00853FE4">
        <w:rPr>
          <w:color w:val="000000" w:themeColor="text1"/>
        </w:rPr>
        <w:lastRenderedPageBreak/>
        <w:t>Google Cloud Landing Zone Architecture</w:t>
      </w:r>
    </w:p>
    <w:p w14:paraId="2175C559" w14:textId="77777777" w:rsidR="007D75A8" w:rsidRPr="00853FE4" w:rsidRDefault="00000000">
      <w:pPr>
        <w:rPr>
          <w:color w:val="000000" w:themeColor="text1"/>
        </w:rPr>
      </w:pPr>
      <w:r w:rsidRPr="00853FE4">
        <w:rPr>
          <w:color w:val="000000" w:themeColor="text1"/>
        </w:rPr>
        <w:t>The foundation of the platform is a Google Cloud Platform (GCP) landing zone, designed to map the organizational domain structure to physical cloud resources. The resource hierarchy begins at the NOAA Fisheries Organization node, branching into dedicated folders for Domains, Platform, Security, and Shared Services. Each domain, such as Fishery Monitoring or Stock Assessment and Surveys, is assigned its own GCP project within the Domains folder.</w:t>
      </w:r>
    </w:p>
    <w:p w14:paraId="3E20A85F" w14:textId="77777777" w:rsidR="007D75A8" w:rsidRPr="00853FE4" w:rsidRDefault="007D75A8">
      <w:pPr>
        <w:pBdr>
          <w:top w:val="nil"/>
          <w:left w:val="nil"/>
          <w:bottom w:val="nil"/>
          <w:right w:val="nil"/>
          <w:between w:val="nil"/>
        </w:pBdr>
        <w:rPr>
          <w:color w:val="000000" w:themeColor="text1"/>
        </w:rPr>
      </w:pPr>
    </w:p>
    <w:p w14:paraId="05E81178" w14:textId="77777777" w:rsidR="007D75A8" w:rsidRPr="00853FE4" w:rsidRDefault="00000000">
      <w:pPr>
        <w:rPr>
          <w:color w:val="000000" w:themeColor="text1"/>
        </w:rPr>
      </w:pPr>
      <w:r w:rsidRPr="00853FE4">
        <w:rPr>
          <w:color w:val="000000" w:themeColor="text1"/>
        </w:rPr>
        <w:t>Networking relies on a hub-and-spoke Virtual Private Cloud (VPC) topology. A Shared VPC connects the domain projects, while Cloud Interconnect provides secure, high-bandwidth connectivity back to on-premises legacy data centers at the regional sites. Access management is handled through Cloud IAM, utilizing federated identity via Workload Identity Federation, and custom roles enforce least-privilege access. Encryption is standardized across the platform using Customer-Managed Encryption Keys (CMEK) via Cloud KMS, ensuring compliance with Federal Information Processing Standards (FIPS 140-2).</w:t>
      </w:r>
    </w:p>
    <w:p w14:paraId="32F2CA9D" w14:textId="77777777" w:rsidR="007D75A8" w:rsidRPr="00853FE4" w:rsidRDefault="007D75A8">
      <w:pPr>
        <w:rPr>
          <w:color w:val="000000" w:themeColor="text1"/>
        </w:rPr>
      </w:pPr>
    </w:p>
    <w:p w14:paraId="2753AE58" w14:textId="77777777" w:rsidR="007D75A8" w:rsidRPr="00853FE4" w:rsidRDefault="00000000">
      <w:pPr>
        <w:rPr>
          <w:color w:val="000000" w:themeColor="text1"/>
        </w:rPr>
      </w:pPr>
      <w:r w:rsidRPr="00853FE4">
        <w:rPr>
          <w:color w:val="000000" w:themeColor="text1"/>
        </w:rPr>
        <w:t xml:space="preserve">The complete GCP organization hierarchy, VPC networking topology, IAM structure, and platform services catalog is depicted in </w:t>
      </w:r>
      <w:hyperlink w:anchor="_8g14rabrk9g">
        <w:r w:rsidRPr="00853FE4">
          <w:rPr>
            <w:color w:val="000000" w:themeColor="text1"/>
            <w:u w:val="single"/>
          </w:rPr>
          <w:t>Figure 6</w:t>
        </w:r>
      </w:hyperlink>
      <w:r w:rsidRPr="00853FE4">
        <w:rPr>
          <w:color w:val="000000" w:themeColor="text1"/>
        </w:rPr>
        <w:t xml:space="preserve">. </w:t>
      </w:r>
      <w:hyperlink w:anchor="_8sp7a7jgzem1">
        <w:r w:rsidRPr="00853FE4">
          <w:rPr>
            <w:color w:val="000000" w:themeColor="text1"/>
            <w:u w:val="single"/>
          </w:rPr>
          <w:t>Figure 7</w:t>
        </w:r>
      </w:hyperlink>
      <w:r w:rsidRPr="00853FE4">
        <w:rPr>
          <w:color w:val="000000" w:themeColor="text1"/>
        </w:rPr>
        <w:t xml:space="preserve"> drills into the Fishery Monitoring domain, showing the complete workload breakdown across data products, pipelines, applications, science environments, and HPC, using the `n` convention to denote multiple instances per workload type.</w:t>
      </w:r>
    </w:p>
    <w:p w14:paraId="5054407B" w14:textId="77777777" w:rsidR="007D75A8" w:rsidRPr="00853FE4" w:rsidRDefault="00000000">
      <w:pPr>
        <w:pStyle w:val="Heading3"/>
        <w:rPr>
          <w:color w:val="000000" w:themeColor="text1"/>
        </w:rPr>
      </w:pPr>
      <w:bookmarkStart w:id="42" w:name="_q2yfj56ga505" w:colFirst="0" w:colLast="0"/>
      <w:bookmarkEnd w:id="42"/>
      <w:r w:rsidRPr="00853FE4">
        <w:rPr>
          <w:color w:val="000000" w:themeColor="text1"/>
        </w:rPr>
        <w:t>Well-Architected Platform Integration</w:t>
      </w:r>
    </w:p>
    <w:p w14:paraId="4B3A98B5" w14:textId="77777777" w:rsidR="007D75A8" w:rsidRPr="00853FE4" w:rsidRDefault="00000000">
      <w:pPr>
        <w:rPr>
          <w:color w:val="000000" w:themeColor="text1"/>
        </w:rPr>
      </w:pPr>
      <w:r w:rsidRPr="00853FE4">
        <w:rPr>
          <w:color w:val="000000" w:themeColor="text1"/>
        </w:rPr>
        <w:t>The platform design weaves the six pillars of the Google Cloud Well-Architected Framework into its core operations:</w:t>
      </w:r>
    </w:p>
    <w:p w14:paraId="2201326B" w14:textId="77777777" w:rsidR="007D75A8" w:rsidRPr="00853FE4" w:rsidRDefault="007D75A8">
      <w:pPr>
        <w:pBdr>
          <w:top w:val="nil"/>
          <w:left w:val="nil"/>
          <w:bottom w:val="nil"/>
          <w:right w:val="nil"/>
          <w:between w:val="nil"/>
        </w:pBdr>
        <w:rPr>
          <w:color w:val="000000" w:themeColor="text1"/>
        </w:rPr>
      </w:pPr>
    </w:p>
    <w:p w14:paraId="22F80478" w14:textId="77777777" w:rsidR="007D75A8" w:rsidRPr="00853FE4" w:rsidRDefault="00000000">
      <w:pPr>
        <w:numPr>
          <w:ilvl w:val="0"/>
          <w:numId w:val="1"/>
        </w:numPr>
        <w:rPr>
          <w:rFonts w:ascii="Arial" w:eastAsia="Arial" w:hAnsi="Arial" w:cs="Arial"/>
          <w:color w:val="000000" w:themeColor="text1"/>
          <w:sz w:val="22"/>
          <w:szCs w:val="22"/>
        </w:rPr>
      </w:pPr>
      <w:r w:rsidRPr="00853FE4">
        <w:rPr>
          <w:b/>
          <w:bCs/>
          <w:color w:val="000000" w:themeColor="text1"/>
        </w:rPr>
        <w:t>Operational Excellence</w:t>
      </w:r>
      <w:r w:rsidRPr="00853FE4">
        <w:rPr>
          <w:color w:val="000000" w:themeColor="text1"/>
        </w:rPr>
        <w:t>: The platform automates deployments through Cloud Build CI/CD pipelines and tracks system health via Cloud Monitoring, allowing domains to define and measure their own service-level objectives (SLOs).</w:t>
      </w:r>
    </w:p>
    <w:p w14:paraId="1FD04204" w14:textId="77777777" w:rsidR="007D75A8" w:rsidRPr="00853FE4" w:rsidRDefault="00000000">
      <w:pPr>
        <w:numPr>
          <w:ilvl w:val="0"/>
          <w:numId w:val="1"/>
        </w:numPr>
        <w:rPr>
          <w:rFonts w:ascii="Arial" w:eastAsia="Arial" w:hAnsi="Arial" w:cs="Arial"/>
          <w:color w:val="000000" w:themeColor="text1"/>
          <w:sz w:val="22"/>
          <w:szCs w:val="22"/>
        </w:rPr>
      </w:pPr>
      <w:r w:rsidRPr="00853FE4">
        <w:rPr>
          <w:b/>
          <w:bCs/>
          <w:color w:val="000000" w:themeColor="text1"/>
        </w:rPr>
        <w:t>Security, Privacy, and Compliance</w:t>
      </w:r>
      <w:r w:rsidRPr="00853FE4">
        <w:rPr>
          <w:color w:val="000000" w:themeColor="text1"/>
        </w:rPr>
        <w:t>: VPC Service Controls establish secure data perimeters around domain projects, while Cloud Logging captures all data access events to satisfy Magnuson-Stevens Act audit requirements.</w:t>
      </w:r>
    </w:p>
    <w:p w14:paraId="138165CD" w14:textId="77777777" w:rsidR="007D75A8" w:rsidRPr="00853FE4" w:rsidRDefault="00000000">
      <w:pPr>
        <w:numPr>
          <w:ilvl w:val="0"/>
          <w:numId w:val="1"/>
        </w:numPr>
        <w:rPr>
          <w:rFonts w:ascii="Arial" w:eastAsia="Arial" w:hAnsi="Arial" w:cs="Arial"/>
          <w:color w:val="000000" w:themeColor="text1"/>
          <w:sz w:val="22"/>
          <w:szCs w:val="22"/>
        </w:rPr>
      </w:pPr>
      <w:r w:rsidRPr="00853FE4">
        <w:rPr>
          <w:b/>
          <w:bCs/>
          <w:color w:val="000000" w:themeColor="text1"/>
        </w:rPr>
        <w:t>Reliability</w:t>
      </w:r>
      <w:r w:rsidRPr="00853FE4">
        <w:rPr>
          <w:color w:val="000000" w:themeColor="text1"/>
        </w:rPr>
        <w:t>: The architecture utilizes highly available regional deployments and Cloud Interconnect redundancy to ensure disaster recovery capabilities and operational continuity.</w:t>
      </w:r>
    </w:p>
    <w:p w14:paraId="662B34D9" w14:textId="77777777" w:rsidR="007D75A8" w:rsidRPr="00853FE4" w:rsidRDefault="00000000">
      <w:pPr>
        <w:numPr>
          <w:ilvl w:val="0"/>
          <w:numId w:val="1"/>
        </w:numPr>
        <w:rPr>
          <w:rFonts w:ascii="Arial" w:eastAsia="Arial" w:hAnsi="Arial" w:cs="Arial"/>
          <w:color w:val="000000" w:themeColor="text1"/>
          <w:sz w:val="22"/>
          <w:szCs w:val="22"/>
        </w:rPr>
      </w:pPr>
      <w:r w:rsidRPr="00853FE4">
        <w:rPr>
          <w:b/>
          <w:bCs/>
          <w:color w:val="000000" w:themeColor="text1"/>
        </w:rPr>
        <w:lastRenderedPageBreak/>
        <w:t>Performance Optimization</w:t>
      </w:r>
      <w:r w:rsidRPr="00853FE4">
        <w:rPr>
          <w:color w:val="000000" w:themeColor="text1"/>
        </w:rPr>
        <w:t>: The platform manages BigQuery slot allocations centrally, ensuring that computationally intensive tasks, such as running complex stock assessment models, have the necessary resources without starving other domains.</w:t>
      </w:r>
    </w:p>
    <w:p w14:paraId="22975EB2" w14:textId="77777777" w:rsidR="007D75A8" w:rsidRPr="00853FE4" w:rsidRDefault="00000000">
      <w:pPr>
        <w:numPr>
          <w:ilvl w:val="0"/>
          <w:numId w:val="1"/>
        </w:numPr>
        <w:rPr>
          <w:rFonts w:ascii="Arial" w:eastAsia="Arial" w:hAnsi="Arial" w:cs="Arial"/>
          <w:color w:val="000000" w:themeColor="text1"/>
          <w:sz w:val="22"/>
          <w:szCs w:val="22"/>
        </w:rPr>
      </w:pPr>
      <w:r w:rsidRPr="00853FE4">
        <w:rPr>
          <w:b/>
          <w:bCs/>
          <w:color w:val="000000" w:themeColor="text1"/>
        </w:rPr>
        <w:t>Cost Optimization and Financial Operations (FinOps)</w:t>
      </w:r>
      <w:r w:rsidRPr="00853FE4">
        <w:rPr>
          <w:color w:val="000000" w:themeColor="text1"/>
        </w:rPr>
        <w:t>: A critical capability for the federal context, detailed below.</w:t>
      </w:r>
    </w:p>
    <w:p w14:paraId="2418A1CA" w14:textId="77777777" w:rsidR="007D75A8" w:rsidRPr="00853FE4" w:rsidRDefault="00000000">
      <w:pPr>
        <w:numPr>
          <w:ilvl w:val="0"/>
          <w:numId w:val="1"/>
        </w:numPr>
        <w:rPr>
          <w:rFonts w:ascii="Arial" w:eastAsia="Arial" w:hAnsi="Arial" w:cs="Arial"/>
          <w:color w:val="000000" w:themeColor="text1"/>
          <w:sz w:val="22"/>
          <w:szCs w:val="22"/>
        </w:rPr>
      </w:pPr>
      <w:r w:rsidRPr="00853FE4">
        <w:rPr>
          <w:b/>
          <w:bCs/>
          <w:color w:val="000000" w:themeColor="text1"/>
        </w:rPr>
        <w:t>Sustainability</w:t>
      </w:r>
      <w:r w:rsidRPr="00853FE4">
        <w:rPr>
          <w:color w:val="000000" w:themeColor="text1"/>
        </w:rPr>
        <w:t>: The platform relies heavily on serverless and managed services, such as Cloud Run and BigQuery, minimizing idle compute resources and tracking environmental impact via Google Cloud Carbon Footprint.</w:t>
      </w:r>
    </w:p>
    <w:p w14:paraId="60039507" w14:textId="77777777" w:rsidR="007D75A8" w:rsidRPr="00853FE4" w:rsidRDefault="00000000">
      <w:pPr>
        <w:pStyle w:val="Heading3"/>
        <w:rPr>
          <w:color w:val="000000" w:themeColor="text1"/>
        </w:rPr>
      </w:pPr>
      <w:bookmarkStart w:id="43" w:name="_ye18uuihsjhd" w:colFirst="0" w:colLast="0"/>
      <w:bookmarkEnd w:id="43"/>
      <w:r w:rsidRPr="00853FE4">
        <w:rPr>
          <w:color w:val="000000" w:themeColor="text1"/>
        </w:rPr>
        <w:t>Financial Operations (FinOps) and Cost Attribution</w:t>
      </w:r>
    </w:p>
    <w:p w14:paraId="047914CC" w14:textId="77777777" w:rsidR="007D75A8" w:rsidRPr="00853FE4" w:rsidRDefault="00000000">
      <w:pPr>
        <w:rPr>
          <w:color w:val="000000" w:themeColor="text1"/>
        </w:rPr>
      </w:pPr>
      <w:r w:rsidRPr="00853FE4">
        <w:rPr>
          <w:color w:val="000000" w:themeColor="text1"/>
        </w:rPr>
        <w:t>In the NOAA Fisheries context, funding is highly fragmented. A domain's contributors might be funded by multiple Financial Management Centers (FMCs), such as regional offices or science centers operating under annual federal appropriations, or by cross-regional projects supported by discretionary funding. The platform accommodates this complexity through a rigorous FinOps model based on label-driven chargebacks.</w:t>
      </w:r>
    </w:p>
    <w:p w14:paraId="341F9520" w14:textId="77777777" w:rsidR="007D75A8" w:rsidRPr="00853FE4" w:rsidRDefault="007D75A8">
      <w:pPr>
        <w:pBdr>
          <w:top w:val="nil"/>
          <w:left w:val="nil"/>
          <w:bottom w:val="nil"/>
          <w:right w:val="nil"/>
          <w:between w:val="nil"/>
        </w:pBdr>
        <w:rPr>
          <w:color w:val="000000" w:themeColor="text1"/>
        </w:rPr>
      </w:pPr>
    </w:p>
    <w:p w14:paraId="3AA8BD40" w14:textId="77777777" w:rsidR="007D75A8" w:rsidRPr="00853FE4" w:rsidRDefault="00000000">
      <w:pPr>
        <w:rPr>
          <w:color w:val="000000" w:themeColor="text1"/>
        </w:rPr>
      </w:pPr>
      <w:r w:rsidRPr="00853FE4">
        <w:rPr>
          <w:color w:val="000000" w:themeColor="text1"/>
        </w:rPr>
        <w:t>Platform costs are divided into two categories: capital fund services and cost-recovered services. Enterprise-wide foundations, including the GCP Organization, Shared VPC, Cloud Interconnect, Security Command Center, and the platform team itself, are centrally funded as capital investments. Conversely, domain-specific consumption, such as BigQuery query slots, Cloud Storage gigabytes, and Cloud Run compute time, is cost-recovered from the participating FMCs.</w:t>
      </w:r>
    </w:p>
    <w:p w14:paraId="767104CE" w14:textId="77777777" w:rsidR="007D75A8" w:rsidRPr="00853FE4" w:rsidRDefault="007D75A8">
      <w:pPr>
        <w:pBdr>
          <w:top w:val="nil"/>
          <w:left w:val="nil"/>
          <w:bottom w:val="nil"/>
          <w:right w:val="nil"/>
          <w:between w:val="nil"/>
        </w:pBdr>
        <w:rPr>
          <w:color w:val="000000" w:themeColor="text1"/>
        </w:rPr>
      </w:pPr>
    </w:p>
    <w:p w14:paraId="68D25AC1" w14:textId="77777777" w:rsidR="007D75A8" w:rsidRPr="00853FE4" w:rsidRDefault="00000000">
      <w:pPr>
        <w:rPr>
          <w:color w:val="000000" w:themeColor="text1"/>
        </w:rPr>
      </w:pPr>
      <w:r w:rsidRPr="00853FE4">
        <w:rPr>
          <w:color w:val="000000" w:themeColor="text1"/>
        </w:rPr>
        <w:t>This recovery is achieved through label-based attribution. Every resource provisioned by a domain template is automatically tagged with its domain, specific data product, cost center, and environment. Cloud Billing exports this granular data to BigQuery, enabling automated monthly cost allocation reports. For example, the cloud costs generated by the Fishery Monitoring domain are attributed back to the cost centers originating the data, dividing expenses proportionally among the Alaska Regional Office, the Northeast Fisheries Science Center, and any participating cross-regional working groups. This visibility aligns variable cloud consumption with the constraints of the federal fiscal year planning cycle, allowing DPOs and FMC budget officers to conduct monthly FinOps reviews, set project-level budget alerts, and utilize committed use discounts for predictable workloads.</w:t>
      </w:r>
    </w:p>
    <w:p w14:paraId="68F08AFB" w14:textId="77777777" w:rsidR="007D75A8" w:rsidRPr="00853FE4" w:rsidRDefault="00000000">
      <w:pPr>
        <w:pStyle w:val="Heading3"/>
        <w:rPr>
          <w:color w:val="000000" w:themeColor="text1"/>
        </w:rPr>
      </w:pPr>
      <w:bookmarkStart w:id="44" w:name="_6fkgl533mq49" w:colFirst="0" w:colLast="0"/>
      <w:bookmarkEnd w:id="44"/>
      <w:r w:rsidRPr="00853FE4">
        <w:rPr>
          <w:color w:val="000000" w:themeColor="text1"/>
        </w:rPr>
        <w:t>Core Platform Services Catalog: The EM Example</w:t>
      </w:r>
    </w:p>
    <w:p w14:paraId="6F10BC76" w14:textId="77777777" w:rsidR="007D75A8" w:rsidRPr="00853FE4" w:rsidRDefault="00000000">
      <w:pPr>
        <w:rPr>
          <w:color w:val="000000" w:themeColor="text1"/>
        </w:rPr>
      </w:pPr>
      <w:r w:rsidRPr="00853FE4">
        <w:rPr>
          <w:color w:val="000000" w:themeColor="text1"/>
        </w:rPr>
        <w:t>The platform offers a curated catalog of services, constrained by policy to ensure compliance. For the Electronic Monitoring data product, the Fishery Monitoring domain consumes these core services, organized by the three stages of the federally governed EM data lifecycle.</w:t>
      </w:r>
    </w:p>
    <w:p w14:paraId="701AEFAE" w14:textId="77777777" w:rsidR="007D75A8" w:rsidRPr="00853FE4" w:rsidRDefault="007D75A8">
      <w:pPr>
        <w:pBdr>
          <w:top w:val="nil"/>
          <w:left w:val="nil"/>
          <w:bottom w:val="nil"/>
          <w:right w:val="nil"/>
          <w:between w:val="nil"/>
        </w:pBdr>
        <w:rPr>
          <w:color w:val="000000" w:themeColor="text1"/>
        </w:rPr>
      </w:pPr>
    </w:p>
    <w:p w14:paraId="5469C6F1" w14:textId="77777777" w:rsidR="007D75A8" w:rsidRPr="00853FE4" w:rsidRDefault="00000000">
      <w:pPr>
        <w:rPr>
          <w:color w:val="000000" w:themeColor="text1"/>
        </w:rPr>
      </w:pPr>
      <w:r w:rsidRPr="00853FE4">
        <w:rPr>
          <w:color w:val="000000" w:themeColor="text1"/>
        </w:rPr>
        <w:t>In Stage 1, the fishing year and monitoring period (Alger, 2020), raw video and sensor data are ingested through Cloud Run serverless APIs and stored in Cloud Storage Standard tier. Dataplex performs initial schema validation as data arrives from EM service providers, verifying that required metadata fields are present before the data enters the processing pipeline.</w:t>
      </w:r>
    </w:p>
    <w:p w14:paraId="7901F891" w14:textId="77777777" w:rsidR="007D75A8" w:rsidRPr="00853FE4" w:rsidRDefault="007D75A8">
      <w:pPr>
        <w:pBdr>
          <w:top w:val="nil"/>
          <w:left w:val="nil"/>
          <w:bottom w:val="nil"/>
          <w:right w:val="nil"/>
          <w:between w:val="nil"/>
        </w:pBdr>
        <w:rPr>
          <w:color w:val="000000" w:themeColor="text1"/>
        </w:rPr>
      </w:pPr>
    </w:p>
    <w:p w14:paraId="5BA9DDE4" w14:textId="77777777" w:rsidR="007D75A8" w:rsidRPr="00853FE4" w:rsidRDefault="00000000">
      <w:pPr>
        <w:rPr>
          <w:color w:val="000000" w:themeColor="text1"/>
        </w:rPr>
      </w:pPr>
      <w:r w:rsidRPr="00853FE4">
        <w:rPr>
          <w:color w:val="000000" w:themeColor="text1"/>
        </w:rPr>
        <w:t>In Stage 2, the 12-month minimum retention period (Alger, 2020), BigQuery houses the structured EM trip reports and verified species identification records, serving analytical queries from stock assessment, protected species, and enforcement consumers. Cloud Storage lifecycle policies automatically transition raw video from Standard to Archive storage after 90 days, optimizing costs while maintaining availability for program compliance and service provider performance review. Data Catalog hosts the EM data product listing, exposing its schema, SLOs, and owner contact information to the rest of the mesh. Dataplex enforces species ID validation rules and data freshness checks. Cloud Monitoring tracks timeliness and completeness SLO dashboards against the data contract.</w:t>
      </w:r>
    </w:p>
    <w:p w14:paraId="1EB26067" w14:textId="77777777" w:rsidR="007D75A8" w:rsidRPr="00853FE4" w:rsidRDefault="007D75A8">
      <w:pPr>
        <w:pBdr>
          <w:top w:val="nil"/>
          <w:left w:val="nil"/>
          <w:bottom w:val="nil"/>
          <w:right w:val="nil"/>
          <w:between w:val="nil"/>
        </w:pBdr>
        <w:rPr>
          <w:color w:val="000000" w:themeColor="text1"/>
        </w:rPr>
      </w:pPr>
    </w:p>
    <w:p w14:paraId="3C290A76" w14:textId="77777777" w:rsidR="007D75A8" w:rsidRPr="00853FE4" w:rsidRDefault="00000000">
      <w:pPr>
        <w:rPr>
          <w:color w:val="000000" w:themeColor="text1"/>
        </w:rPr>
      </w:pPr>
      <w:r w:rsidRPr="00853FE4">
        <w:rPr>
          <w:color w:val="000000" w:themeColor="text1"/>
        </w:rPr>
        <w:t>In Stage 3, the NARA federal records retention period (National Archives and Records Administration [NARA], 2020), Cloud Storage lifecycle policies enforce the five-year retention and scheduled destruction, while Cloud Logging maintains an immutable audit trail of all enforcement access during the retention window. Object retention locks on Cloud Storage buckets prevent premature deletion of pre-processed files before the NARA disposition date.</w:t>
      </w:r>
    </w:p>
    <w:p w14:paraId="0D832FCE" w14:textId="77777777" w:rsidR="007D75A8" w:rsidRPr="00853FE4" w:rsidRDefault="007D75A8">
      <w:pPr>
        <w:pBdr>
          <w:top w:val="nil"/>
          <w:left w:val="nil"/>
          <w:bottom w:val="nil"/>
          <w:right w:val="nil"/>
          <w:between w:val="nil"/>
        </w:pBdr>
        <w:rPr>
          <w:color w:val="000000" w:themeColor="text1"/>
        </w:rPr>
      </w:pPr>
    </w:p>
    <w:p w14:paraId="7CCDAAA1" w14:textId="77777777" w:rsidR="007D75A8" w:rsidRPr="00853FE4" w:rsidRDefault="00000000">
      <w:pPr>
        <w:rPr>
          <w:color w:val="000000" w:themeColor="text1"/>
        </w:rPr>
      </w:pPr>
      <w:r w:rsidRPr="00853FE4">
        <w:rPr>
          <w:color w:val="000000" w:themeColor="text1"/>
        </w:rPr>
        <w:t xml:space="preserve">This serverless, self-serve approach is not speculative. L'Oréal's Beauty Tech Data Platform provides a large-scale existence proof of the architectural patterns advocated here. Operating across 150 countries with approximately 85,000 employees, L'Oréal built a serverless GCP data platform that manages 100 terabytes of production data, processes 20 terabytes monthly across 2 million BigQuery tables, and serves approximately 5,000 users through 8,500 data flows (Castex, 2022). The platform's defining principle was "no ops": developers do not manage servers. Every service, from BigQuery for SQL analytics and Cloud Run for data processing to Cloud Workflows for orchestration and Cloud Functions for event-driven ingestion, is fully serverless and elastic, scaling to zero when idle and absorbing demand spikes without capacity planning. L'Oréal adopted the extract-load-transform (ELT) pattern, loading raw data into BigQuery and performing transformations in SQL rather than maintaining brittle ETL pipelines, exactly the pattern recommended for NOAA Fisheries data products. Most critically from a public-sector perspective, the platform operates on a pay-as-you-go model that aligns cost with actual consumption, a financial model that maps directly to the label-based FinOps chargeback framework described in this section. L'Oréal demonstrates that a large, complex organization </w:t>
      </w:r>
      <w:r w:rsidRPr="00853FE4">
        <w:rPr>
          <w:color w:val="000000" w:themeColor="text1"/>
        </w:rPr>
        <w:lastRenderedPageBreak/>
        <w:t>with diverse data sources (Salesforce, SAP, Microsoft, Google Ads), heterogeneous geographic requirements, and strict security and compliance obligations can transition from a "very complex and hard to manage" centralized data warehouse to a platform in which domain teams create and consume data products autonomously (Castex, 2022).</w:t>
      </w:r>
    </w:p>
    <w:p w14:paraId="7917D68D" w14:textId="77777777" w:rsidR="007D75A8" w:rsidRPr="00853FE4" w:rsidRDefault="00000000">
      <w:pPr>
        <w:pStyle w:val="Heading3"/>
        <w:rPr>
          <w:color w:val="000000" w:themeColor="text1"/>
        </w:rPr>
      </w:pPr>
      <w:bookmarkStart w:id="45" w:name="_4zw6uakcrl7j" w:colFirst="0" w:colLast="0"/>
      <w:bookmarkEnd w:id="45"/>
      <w:r w:rsidRPr="00853FE4">
        <w:rPr>
          <w:color w:val="000000" w:themeColor="text1"/>
        </w:rPr>
        <w:t>Data Product Creation Workflow</w:t>
      </w:r>
    </w:p>
    <w:p w14:paraId="228EC700" w14:textId="77777777" w:rsidR="007D75A8" w:rsidRPr="00853FE4" w:rsidRDefault="00000000">
      <w:pPr>
        <w:rPr>
          <w:color w:val="000000" w:themeColor="text1"/>
        </w:rPr>
      </w:pPr>
      <w:r w:rsidRPr="00853FE4">
        <w:rPr>
          <w:color w:val="000000" w:themeColor="text1"/>
        </w:rPr>
        <w:t>The platform's value is best demonstrated through the automated data product creation workflow. When the Fishery Monitoring DPO decides to publish a new version of the EM data product, they do not submit an IT ticket. Instead, they execute a platform-provided Terraform template. This template automatically provisions the necessary BigQuery dataset, configures the required IAM policies, creates the Data Catalog entry, applies Dataplex quality rules, and deploys Cloud Monitoring SLO dashboards.</w:t>
      </w:r>
    </w:p>
    <w:p w14:paraId="5A751481" w14:textId="77777777" w:rsidR="007D75A8" w:rsidRPr="00853FE4" w:rsidRDefault="007D75A8">
      <w:pPr>
        <w:pBdr>
          <w:top w:val="nil"/>
          <w:left w:val="nil"/>
          <w:bottom w:val="nil"/>
          <w:right w:val="nil"/>
          <w:between w:val="nil"/>
        </w:pBdr>
        <w:rPr>
          <w:color w:val="000000" w:themeColor="text1"/>
        </w:rPr>
      </w:pPr>
    </w:p>
    <w:p w14:paraId="58A079F8" w14:textId="77777777" w:rsidR="007D75A8" w:rsidRPr="00853FE4" w:rsidRDefault="00000000">
      <w:pPr>
        <w:rPr>
          <w:color w:val="000000" w:themeColor="text1"/>
        </w:rPr>
      </w:pPr>
      <w:r w:rsidRPr="00853FE4">
        <w:rPr>
          <w:color w:val="000000" w:themeColor="text1"/>
        </w:rPr>
        <w:t>A CI/CD pipeline, executed via Cloud Build, validates the schema and runs integration tests within an isolated sandbox environment, ensuring that test data and real data never mix. Once validated, the DPO promotes the product to production. The Data Catalog entry instantly becomes discoverable by the Stock Assessment and Enforcement domains, completing the lifecycle from conception to availability without manual intervention from the platform team.</w:t>
      </w:r>
    </w:p>
    <w:p w14:paraId="1F740885" w14:textId="77777777" w:rsidR="007D75A8" w:rsidRPr="00853FE4" w:rsidRDefault="007D75A8">
      <w:pPr>
        <w:pBdr>
          <w:top w:val="nil"/>
          <w:left w:val="nil"/>
          <w:bottom w:val="nil"/>
          <w:right w:val="nil"/>
          <w:between w:val="nil"/>
        </w:pBdr>
        <w:rPr>
          <w:color w:val="000000" w:themeColor="text1"/>
        </w:rPr>
      </w:pPr>
    </w:p>
    <w:p w14:paraId="41779F99" w14:textId="77777777" w:rsidR="007D75A8" w:rsidRPr="00853FE4" w:rsidRDefault="00000000">
      <w:pPr>
        <w:rPr>
          <w:color w:val="000000" w:themeColor="text1"/>
        </w:rPr>
      </w:pPr>
      <w:r w:rsidRPr="00853FE4">
        <w:rPr>
          <w:color w:val="000000" w:themeColor="text1"/>
        </w:rPr>
        <w:t xml:space="preserve">The automated sequence of steps a Data Product Owner follows to create a new data product is shown in </w:t>
      </w:r>
      <w:hyperlink w:anchor="_ia57ub749fzi">
        <w:r w:rsidRPr="00853FE4">
          <w:rPr>
            <w:color w:val="000000" w:themeColor="text1"/>
            <w:u w:val="single"/>
          </w:rPr>
          <w:t>Figure 8</w:t>
        </w:r>
      </w:hyperlink>
      <w:r w:rsidRPr="00853FE4">
        <w:rPr>
          <w:color w:val="000000" w:themeColor="text1"/>
        </w:rPr>
        <w:t>.</w:t>
      </w:r>
    </w:p>
    <w:p w14:paraId="25327CC9" w14:textId="77777777" w:rsidR="007D75A8" w:rsidRPr="00853FE4" w:rsidRDefault="00000000">
      <w:pPr>
        <w:pStyle w:val="Heading2"/>
        <w:rPr>
          <w:color w:val="000000" w:themeColor="text1"/>
        </w:rPr>
      </w:pPr>
      <w:bookmarkStart w:id="46" w:name="_3vanwwnr3n4w" w:colFirst="0" w:colLast="0"/>
      <w:bookmarkEnd w:id="46"/>
      <w:r w:rsidRPr="00853FE4">
        <w:rPr>
          <w:color w:val="000000" w:themeColor="text1"/>
        </w:rPr>
        <w:t>5.4 Federated Computational Governance</w:t>
      </w:r>
    </w:p>
    <w:p w14:paraId="1CE9FA72" w14:textId="77777777" w:rsidR="007D75A8" w:rsidRPr="00853FE4" w:rsidRDefault="00000000">
      <w:pPr>
        <w:rPr>
          <w:color w:val="000000" w:themeColor="text1"/>
        </w:rPr>
      </w:pPr>
      <w:r w:rsidRPr="00853FE4">
        <w:rPr>
          <w:color w:val="000000" w:themeColor="text1"/>
        </w:rPr>
        <w:t>The fourth principle of data mesh, federated computational governance, addresses the risk that decentralized ownership will produce a fractured ecosystem of incompatible data products. To ensure interoperability, security, and compliance across domains, the mesh requires a governance model that is federated in its decision-making and computational in its enforcement (Dehghani, 2022). This approach replaces the traditional centralized governance board, which often becomes a bottleneck, with a federated council that defines standards. Crucially, these standards are translated into code and enforced automatically by the platform, transforming compliance from a manual gatekeeping process into a continuous, architectural guarantee.</w:t>
      </w:r>
    </w:p>
    <w:p w14:paraId="5739AF92" w14:textId="77777777" w:rsidR="007D75A8" w:rsidRPr="00853FE4" w:rsidRDefault="00000000">
      <w:pPr>
        <w:pStyle w:val="Heading3"/>
        <w:rPr>
          <w:color w:val="000000" w:themeColor="text1"/>
        </w:rPr>
      </w:pPr>
      <w:bookmarkStart w:id="47" w:name="_wku7k7a1p4mf" w:colFirst="0" w:colLast="0"/>
      <w:bookmarkEnd w:id="47"/>
      <w:r w:rsidRPr="00853FE4">
        <w:rPr>
          <w:color w:val="000000" w:themeColor="text1"/>
        </w:rPr>
        <w:t>The Three-Tier Policy Model and the Data Governance Council</w:t>
      </w:r>
    </w:p>
    <w:p w14:paraId="5B114ACE" w14:textId="77777777" w:rsidR="007D75A8" w:rsidRPr="00853FE4" w:rsidRDefault="00000000">
      <w:pPr>
        <w:rPr>
          <w:color w:val="000000" w:themeColor="text1"/>
        </w:rPr>
      </w:pPr>
      <w:r w:rsidRPr="00853FE4">
        <w:rPr>
          <w:color w:val="000000" w:themeColor="text1"/>
        </w:rPr>
        <w:t xml:space="preserve">Governance in the NOAA Fisheries data mesh operates across a three-tier policy model. At the global tier, enterprise-wide standards are established for interoperability, security, and regulatory compliance. These include mandated encryption protocols, required metadata schemas for Data </w:t>
      </w:r>
      <w:r w:rsidRPr="00853FE4">
        <w:rPr>
          <w:color w:val="000000" w:themeColor="text1"/>
        </w:rPr>
        <w:lastRenderedPageBreak/>
        <w:t>Catalog, and universal audit logging requirements. At the domain tier, policies specific to programmatic functions are defined, such as the approved taxonomy for species identification within the Fishery Monitoring domain. At the product tier, the Data Product Owner defines the granular service-level objectives, schema versions, and access rules specific to an individual dataset.</w:t>
      </w:r>
    </w:p>
    <w:p w14:paraId="416FA7B6" w14:textId="77777777" w:rsidR="007D75A8" w:rsidRPr="00853FE4" w:rsidRDefault="007D75A8">
      <w:pPr>
        <w:pBdr>
          <w:top w:val="nil"/>
          <w:left w:val="nil"/>
          <w:bottom w:val="nil"/>
          <w:right w:val="nil"/>
          <w:between w:val="nil"/>
        </w:pBdr>
        <w:rPr>
          <w:color w:val="000000" w:themeColor="text1"/>
        </w:rPr>
      </w:pPr>
    </w:p>
    <w:p w14:paraId="7381DA04" w14:textId="77777777" w:rsidR="007D75A8" w:rsidRPr="00853FE4" w:rsidRDefault="00000000">
      <w:pPr>
        <w:rPr>
          <w:color w:val="000000" w:themeColor="text1"/>
        </w:rPr>
      </w:pPr>
      <w:r w:rsidRPr="00853FE4">
        <w:rPr>
          <w:color w:val="000000" w:themeColor="text1"/>
        </w:rPr>
        <w:t>Coordination across these tiers is managed by a Data Governance Council. Composed of domain Data Product Owners, platform engineers, and security compliance officers, the council operates through a structured change management process. Rather than reviewing individual data product publications, the council focuses on defining the global standards and resolving cross-domain interoperability challenges. Once the council agrees on a policy, the platform team encodes it into the shared infrastructure templates, ensuring that the policy is uniformly applied across all new data products.</w:t>
      </w:r>
    </w:p>
    <w:p w14:paraId="5795B0AE" w14:textId="77777777" w:rsidR="007D75A8" w:rsidRPr="00853FE4" w:rsidRDefault="00000000">
      <w:pPr>
        <w:pStyle w:val="Heading3"/>
        <w:rPr>
          <w:color w:val="000000" w:themeColor="text1"/>
        </w:rPr>
      </w:pPr>
      <w:bookmarkStart w:id="48" w:name="_bftdu8ce3ec1" w:colFirst="0" w:colLast="0"/>
      <w:bookmarkEnd w:id="48"/>
      <w:r w:rsidRPr="00853FE4">
        <w:rPr>
          <w:color w:val="000000" w:themeColor="text1"/>
        </w:rPr>
        <w:t>Integrating Security and Compliance: The NIST 800-53 Mapping</w:t>
      </w:r>
    </w:p>
    <w:p w14:paraId="24A7EC56" w14:textId="77777777" w:rsidR="007D75A8" w:rsidRPr="00853FE4" w:rsidRDefault="00000000">
      <w:pPr>
        <w:rPr>
          <w:color w:val="000000" w:themeColor="text1"/>
        </w:rPr>
      </w:pPr>
      <w:r w:rsidRPr="00853FE4">
        <w:rPr>
          <w:color w:val="000000" w:themeColor="text1"/>
        </w:rPr>
        <w:t>For NOAA Fisheries, the data mesh must satisfy stringent federal security and privacy requirements, primarily defined by the NIST SP 800-53 control catalog (Joint Task Force, 2020) and the Google Cloud Well-Architected Framework Security pillar. The platform encodes these controls computationally, mapping specific NIST requirements to GCP services:</w:t>
      </w:r>
    </w:p>
    <w:p w14:paraId="59227303" w14:textId="77777777" w:rsidR="007D75A8" w:rsidRPr="00853FE4" w:rsidRDefault="007D75A8">
      <w:pPr>
        <w:pBdr>
          <w:top w:val="nil"/>
          <w:left w:val="nil"/>
          <w:bottom w:val="nil"/>
          <w:right w:val="nil"/>
          <w:between w:val="nil"/>
        </w:pBdr>
        <w:rPr>
          <w:color w:val="000000" w:themeColor="text1"/>
        </w:rPr>
      </w:pPr>
    </w:p>
    <w:p w14:paraId="19A316C7" w14:textId="77777777" w:rsidR="007D75A8" w:rsidRPr="00853FE4" w:rsidRDefault="00000000">
      <w:pPr>
        <w:numPr>
          <w:ilvl w:val="0"/>
          <w:numId w:val="3"/>
        </w:numPr>
        <w:rPr>
          <w:rFonts w:ascii="Arial" w:eastAsia="Arial" w:hAnsi="Arial" w:cs="Arial"/>
          <w:color w:val="000000" w:themeColor="text1"/>
          <w:sz w:val="22"/>
          <w:szCs w:val="22"/>
        </w:rPr>
      </w:pPr>
      <w:r w:rsidRPr="00853FE4">
        <w:rPr>
          <w:b/>
          <w:bCs/>
          <w:color w:val="000000" w:themeColor="text1"/>
        </w:rPr>
        <w:t>AC-3 (Access Enforcement)</w:t>
      </w:r>
      <w:r w:rsidRPr="00853FE4">
        <w:rPr>
          <w:color w:val="000000" w:themeColor="text1"/>
        </w:rPr>
        <w:t xml:space="preserve"> is implemented through Cloud IAM roles and conditions, utilizing BigQuery row-level and column-level security to restrict access based on user authorization.</w:t>
      </w:r>
    </w:p>
    <w:p w14:paraId="20AD9E38" w14:textId="77777777" w:rsidR="007D75A8" w:rsidRPr="00853FE4" w:rsidRDefault="00000000">
      <w:pPr>
        <w:numPr>
          <w:ilvl w:val="0"/>
          <w:numId w:val="3"/>
        </w:numPr>
        <w:rPr>
          <w:rFonts w:ascii="Arial" w:eastAsia="Arial" w:hAnsi="Arial" w:cs="Arial"/>
          <w:color w:val="000000" w:themeColor="text1"/>
          <w:sz w:val="22"/>
          <w:szCs w:val="22"/>
        </w:rPr>
      </w:pPr>
      <w:r w:rsidRPr="00853FE4">
        <w:rPr>
          <w:b/>
          <w:bCs/>
          <w:color w:val="000000" w:themeColor="text1"/>
        </w:rPr>
        <w:t>AU-2 (Audit Logging)</w:t>
      </w:r>
      <w:r w:rsidRPr="00853FE4">
        <w:rPr>
          <w:color w:val="000000" w:themeColor="text1"/>
        </w:rPr>
        <w:t xml:space="preserve"> is satisfied by Cloud Logging and Data Access Audit Logs, which capture all read and write events immutably.</w:t>
      </w:r>
    </w:p>
    <w:p w14:paraId="3F9BA096" w14:textId="77777777" w:rsidR="007D75A8" w:rsidRPr="00853FE4" w:rsidRDefault="00000000">
      <w:pPr>
        <w:numPr>
          <w:ilvl w:val="0"/>
          <w:numId w:val="2"/>
        </w:numPr>
        <w:rPr>
          <w:rFonts w:ascii="Arial" w:eastAsia="Arial" w:hAnsi="Arial" w:cs="Arial"/>
          <w:color w:val="000000" w:themeColor="text1"/>
          <w:sz w:val="22"/>
          <w:szCs w:val="22"/>
        </w:rPr>
      </w:pPr>
      <w:r w:rsidRPr="00853FE4">
        <w:rPr>
          <w:b/>
          <w:bCs/>
          <w:color w:val="000000" w:themeColor="text1"/>
        </w:rPr>
        <w:t>SC-7 (Boundary Protection)</w:t>
      </w:r>
      <w:r w:rsidRPr="00853FE4">
        <w:rPr>
          <w:color w:val="000000" w:themeColor="text1"/>
        </w:rPr>
        <w:t xml:space="preserve"> is enforced via VPC Service Controls and Cloud Armor, creating secure perimeters around domain projects that prevent data exfiltration.</w:t>
      </w:r>
    </w:p>
    <w:p w14:paraId="506C76F4" w14:textId="77777777" w:rsidR="007D75A8" w:rsidRPr="00853FE4" w:rsidRDefault="00000000">
      <w:pPr>
        <w:numPr>
          <w:ilvl w:val="0"/>
          <w:numId w:val="2"/>
        </w:numPr>
        <w:rPr>
          <w:rFonts w:ascii="Arial" w:eastAsia="Arial" w:hAnsi="Arial" w:cs="Arial"/>
          <w:color w:val="000000" w:themeColor="text1"/>
          <w:sz w:val="22"/>
          <w:szCs w:val="22"/>
        </w:rPr>
      </w:pPr>
      <w:r w:rsidRPr="00853FE4">
        <w:rPr>
          <w:b/>
          <w:bCs/>
          <w:color w:val="000000" w:themeColor="text1"/>
        </w:rPr>
        <w:t>SI-10 (Information Input Validation)</w:t>
      </w:r>
      <w:r w:rsidRPr="00853FE4">
        <w:rPr>
          <w:color w:val="000000" w:themeColor="text1"/>
        </w:rPr>
        <w:t xml:space="preserve"> is automated through Dataplex data quality rules, ensuring that incoming data meets defined schemas before publication.</w:t>
      </w:r>
    </w:p>
    <w:p w14:paraId="6C1C4E06" w14:textId="77777777" w:rsidR="007D75A8" w:rsidRPr="00853FE4" w:rsidRDefault="00000000">
      <w:pPr>
        <w:numPr>
          <w:ilvl w:val="0"/>
          <w:numId w:val="2"/>
        </w:numPr>
        <w:rPr>
          <w:rFonts w:ascii="Arial" w:eastAsia="Arial" w:hAnsi="Arial" w:cs="Arial"/>
          <w:color w:val="000000" w:themeColor="text1"/>
          <w:sz w:val="22"/>
          <w:szCs w:val="22"/>
        </w:rPr>
      </w:pPr>
      <w:r w:rsidRPr="00853FE4">
        <w:rPr>
          <w:b/>
          <w:bCs/>
          <w:color w:val="000000" w:themeColor="text1"/>
        </w:rPr>
        <w:t>SC-13 (Cryptographic Protection)</w:t>
      </w:r>
      <w:r w:rsidRPr="00853FE4">
        <w:rPr>
          <w:color w:val="000000" w:themeColor="text1"/>
        </w:rPr>
        <w:t xml:space="preserve"> is guaranteed by requiring Customer-Managed Encryption Keys (CMEK) via Cloud KMS for all storage buckets and datasets.</w:t>
      </w:r>
    </w:p>
    <w:p w14:paraId="14EA1ECA" w14:textId="77777777" w:rsidR="007D75A8" w:rsidRPr="00853FE4" w:rsidRDefault="00000000">
      <w:pPr>
        <w:numPr>
          <w:ilvl w:val="0"/>
          <w:numId w:val="2"/>
        </w:numPr>
        <w:rPr>
          <w:rFonts w:ascii="Arial" w:eastAsia="Arial" w:hAnsi="Arial" w:cs="Arial"/>
          <w:color w:val="000000" w:themeColor="text1"/>
          <w:sz w:val="22"/>
          <w:szCs w:val="22"/>
        </w:rPr>
      </w:pPr>
      <w:r w:rsidRPr="00853FE4">
        <w:rPr>
          <w:b/>
          <w:bCs/>
          <w:color w:val="000000" w:themeColor="text1"/>
        </w:rPr>
        <w:t>RA-5 (Vulnerability Monitoring)</w:t>
      </w:r>
      <w:r w:rsidRPr="00853FE4">
        <w:rPr>
          <w:color w:val="000000" w:themeColor="text1"/>
        </w:rPr>
        <w:t xml:space="preserve"> is provided by the Security Command Center, which continuously scans the platform for misconfigurations and threats.</w:t>
      </w:r>
    </w:p>
    <w:p w14:paraId="74ABE05B" w14:textId="77777777" w:rsidR="007D75A8" w:rsidRPr="00853FE4" w:rsidRDefault="007D75A8">
      <w:pPr>
        <w:pBdr>
          <w:top w:val="nil"/>
          <w:left w:val="nil"/>
          <w:bottom w:val="nil"/>
          <w:right w:val="nil"/>
          <w:between w:val="nil"/>
        </w:pBdr>
        <w:rPr>
          <w:color w:val="000000" w:themeColor="text1"/>
        </w:rPr>
      </w:pPr>
    </w:p>
    <w:p w14:paraId="00CAED03" w14:textId="77777777" w:rsidR="007D75A8" w:rsidRPr="00853FE4" w:rsidRDefault="00000000">
      <w:pPr>
        <w:rPr>
          <w:color w:val="000000" w:themeColor="text1"/>
        </w:rPr>
      </w:pPr>
      <w:r w:rsidRPr="00853FE4">
        <w:rPr>
          <w:color w:val="000000" w:themeColor="text1"/>
        </w:rPr>
        <w:t xml:space="preserve">The three-tier control inheritance strategy shows how 60 to 70 percent of NIST controls are inherited by each data product, dramatically reducing per-product compliance burden (see </w:t>
      </w:r>
      <w:hyperlink w:anchor="_wforjht17nis">
        <w:r w:rsidRPr="00853FE4">
          <w:rPr>
            <w:color w:val="000000" w:themeColor="text1"/>
            <w:u w:val="single"/>
          </w:rPr>
          <w:t>Figure 9</w:t>
        </w:r>
      </w:hyperlink>
      <w:r w:rsidRPr="00853FE4">
        <w:rPr>
          <w:color w:val="000000" w:themeColor="text1"/>
        </w:rPr>
        <w:t>).</w:t>
      </w:r>
    </w:p>
    <w:p w14:paraId="03F3396D" w14:textId="77777777" w:rsidR="007D75A8" w:rsidRPr="00853FE4" w:rsidRDefault="00000000">
      <w:pPr>
        <w:pStyle w:val="Heading3"/>
        <w:rPr>
          <w:color w:val="000000" w:themeColor="text1"/>
        </w:rPr>
      </w:pPr>
      <w:bookmarkStart w:id="49" w:name="_aokk2pkkuduc" w:colFirst="0" w:colLast="0"/>
      <w:bookmarkEnd w:id="49"/>
      <w:r w:rsidRPr="00853FE4">
        <w:rPr>
          <w:color w:val="000000" w:themeColor="text1"/>
        </w:rPr>
        <w:lastRenderedPageBreak/>
        <w:t>Continuous Authorization Strategy</w:t>
      </w:r>
    </w:p>
    <w:p w14:paraId="24EEB9F5" w14:textId="77777777" w:rsidR="007D75A8" w:rsidRPr="00853FE4" w:rsidRDefault="00000000">
      <w:pPr>
        <w:rPr>
          <w:color w:val="000000" w:themeColor="text1"/>
        </w:rPr>
      </w:pPr>
      <w:r w:rsidRPr="00853FE4">
        <w:rPr>
          <w:color w:val="000000" w:themeColor="text1"/>
        </w:rPr>
        <w:t>By embedding these controls into the platform foundation, the reference architecture enables a continuous authorization strategy consistent with the NIST Risk Management Framework (Joint Task Force, 2018). This strategy relies on a common control inheritance model. Foundational controls, such as physical security and hypervisor isolation, are inherited from Google Cloud's FedRAMP authorization. Hybrid controls, including network boundaries, IAM structures, and encryption defaults, are implemented by the NOAA Fisheries platform team and authorized as a common platform system. Because the platform templates automatically enforce these controls, the individual Data Product Owners are responsible only for a small subset of system-specific controls, such as product-level access approvals and schema definitions. In practice, the platform's Authorization to Operate (ATO) covers approximately 60 to 70 percent of the required NIST controls, dramatically reducing the compliance burden on domain teams and allowing data products to receive lightweight, rapid authorization.</w:t>
      </w:r>
    </w:p>
    <w:p w14:paraId="7560A330" w14:textId="77777777" w:rsidR="007D75A8" w:rsidRPr="00853FE4" w:rsidRDefault="007D75A8">
      <w:pPr>
        <w:pBdr>
          <w:top w:val="nil"/>
          <w:left w:val="nil"/>
          <w:bottom w:val="nil"/>
          <w:right w:val="nil"/>
          <w:between w:val="nil"/>
        </w:pBdr>
        <w:rPr>
          <w:color w:val="000000" w:themeColor="text1"/>
        </w:rPr>
      </w:pPr>
    </w:p>
    <w:p w14:paraId="17614CF5" w14:textId="77777777" w:rsidR="007D75A8" w:rsidRPr="00853FE4" w:rsidRDefault="00000000">
      <w:pPr>
        <w:rPr>
          <w:color w:val="000000" w:themeColor="text1"/>
        </w:rPr>
      </w:pPr>
      <w:r w:rsidRPr="00853FE4">
        <w:rPr>
          <w:color w:val="000000" w:themeColor="text1"/>
        </w:rPr>
        <w:t>This approach to platform-level governance enforcement has been demonstrated in practice. NatWest Markets, a regulated financial institution subject to stringent data quality and reporting requirements, adopted a GCP-based data platform that provides assured, reliable, compliant, high-quality data with on-demand reporting (Google Cloud, n.d.). The NatWest case demonstrates that platform-enforced governance, where data quality, lineage, and access controls are embedded in the infrastructure layer rather than retrofitted per system, is viable in a highly regulated environment with mandatory audit and compliance obligations. The same architectural principle applies to NOAA Fisheries: computational governance policies that enforce MSA confidentiality and NIST 800-53 controls at the platform level are not theoretical aspirations. They have been operationalized in comparable regulatory contexts where data integrity and traceability carry legal and financial consequences.</w:t>
      </w:r>
    </w:p>
    <w:p w14:paraId="0AD20D14" w14:textId="77777777" w:rsidR="007D75A8" w:rsidRPr="00853FE4" w:rsidRDefault="00000000">
      <w:pPr>
        <w:pStyle w:val="Heading3"/>
        <w:rPr>
          <w:color w:val="000000" w:themeColor="text1"/>
        </w:rPr>
      </w:pPr>
      <w:bookmarkStart w:id="50" w:name="_dysssg2kjgqo" w:colFirst="0" w:colLast="0"/>
      <w:bookmarkEnd w:id="50"/>
      <w:r w:rsidRPr="00853FE4">
        <w:rPr>
          <w:color w:val="000000" w:themeColor="text1"/>
        </w:rPr>
        <w:t>Grounding Governance in the EM Case Study</w:t>
      </w:r>
    </w:p>
    <w:p w14:paraId="374C62FA" w14:textId="77777777" w:rsidR="007D75A8" w:rsidRPr="00853FE4" w:rsidRDefault="00000000">
      <w:pPr>
        <w:rPr>
          <w:color w:val="000000" w:themeColor="text1"/>
        </w:rPr>
      </w:pPr>
      <w:r w:rsidRPr="00853FE4">
        <w:rPr>
          <w:color w:val="000000" w:themeColor="text1"/>
        </w:rPr>
        <w:t xml:space="preserve">The Electronic Monitoring data product illustrates how federated computational governance enforces the strict confidentiality provisions of the Magnuson-Stevens Act without requiring manual intervention, and how governance differs by lifecycle stage. At the global tier, applicable across all three stages of the EM data lifecycle, the EM data product automatically inherits CMEK encryption, mandated retention schedules, and comprehensive audit logging simply by being deployed through a platform template. The NARA disposition authority (National Archives and Records Administration [NARA], 2020) is enforced at the global tier through Cloud Storage retention locks that prevent premature deletion before the five-year retention period expires. At the domain tier, the Fishery Monitoring DPO establishes quality standards, </w:t>
      </w:r>
      <w:r w:rsidRPr="00853FE4">
        <w:rPr>
          <w:color w:val="000000" w:themeColor="text1"/>
        </w:rPr>
        <w:lastRenderedPageBreak/>
        <w:t>deploying Dataplex rules that reject any trip report containing species codes absent from the authoritative AFS taxonomy or geographic coordinates outside valid regional boundaries.</w:t>
      </w:r>
    </w:p>
    <w:p w14:paraId="087DD8D5" w14:textId="77777777" w:rsidR="007D75A8" w:rsidRPr="00853FE4" w:rsidRDefault="007D75A8">
      <w:pPr>
        <w:pBdr>
          <w:top w:val="nil"/>
          <w:left w:val="nil"/>
          <w:bottom w:val="nil"/>
          <w:right w:val="nil"/>
          <w:between w:val="nil"/>
        </w:pBdr>
        <w:rPr>
          <w:color w:val="000000" w:themeColor="text1"/>
        </w:rPr>
      </w:pPr>
    </w:p>
    <w:p w14:paraId="5EF405D8" w14:textId="77777777" w:rsidR="007D75A8" w:rsidRPr="00853FE4" w:rsidRDefault="00000000">
      <w:pPr>
        <w:rPr>
          <w:color w:val="000000" w:themeColor="text1"/>
        </w:rPr>
      </w:pPr>
      <w:r w:rsidRPr="00853FE4">
        <w:rPr>
          <w:color w:val="000000" w:themeColor="text1"/>
        </w:rPr>
        <w:t>At the product tier, the DPO configures access rules that navigate the complexities of MSA confidentiality, and these rules are stage-specific. During Stage 2, the 12-month minimum retention period when the EM data product is actively consumed for analytical purposes, BigQuery row-level security is the primary enforcement mechanism. Under MSA sec.402(b), vessel-specific data cannot be publicly disclosed. When a stock assessment scientist queries the EM data product, the system automatically applies an aggregation view, returning only catch composition summaries suitable for abundance modeling. When an enforcement agent queries the same product, their specific IAM role grants access to the underlying vessel-level trip details required for compliance investigations. Furthermore, MSA sec.403(c) protections for observer and reviewer privacy are enforced using IAM conditions that restrict access to personally identifiable information (PII). To provide defense-in-depth across both Stage 2 and Stage 3, Cloud DLP (Data Loss Prevention) continuously scans the EM data products, detecting and masking any sensitive PII that might have inadvertently bypassed earlier validation checks. During Stage 3, the NARA retention period, Cloud Logging serves as the primary enforcement mechanism, maintaining an immutable audit trail of enforcement access to pre-processed files during the five-year statute of limitations window, ensuring that the data remains auditable even after active analytical consumption has ceased.</w:t>
      </w:r>
    </w:p>
    <w:p w14:paraId="52911E96" w14:textId="77777777" w:rsidR="007D75A8" w:rsidRPr="00853FE4" w:rsidRDefault="00000000">
      <w:pPr>
        <w:pStyle w:val="Heading2"/>
        <w:rPr>
          <w:color w:val="000000" w:themeColor="text1"/>
        </w:rPr>
      </w:pPr>
      <w:bookmarkStart w:id="51" w:name="_1lzy3yr2hdk4" w:colFirst="0" w:colLast="0"/>
      <w:bookmarkEnd w:id="51"/>
      <w:r w:rsidRPr="00853FE4">
        <w:rPr>
          <w:color w:val="000000" w:themeColor="text1"/>
        </w:rPr>
        <w:t>5.5 Integrating the Principles</w:t>
      </w:r>
    </w:p>
    <w:p w14:paraId="244F48A5" w14:textId="77777777" w:rsidR="007D75A8" w:rsidRPr="00853FE4" w:rsidRDefault="00000000">
      <w:pPr>
        <w:rPr>
          <w:color w:val="000000" w:themeColor="text1"/>
        </w:rPr>
      </w:pPr>
      <w:r w:rsidRPr="00853FE4">
        <w:rPr>
          <w:color w:val="000000" w:themeColor="text1"/>
        </w:rPr>
        <w:t>The four principles of data mesh are not independent architectural choices that can be adopted piecemeal; they form a coherent system in which each principle addresses the structural weaknesses of the others (Dehghani, 2022). Domain ownership without a self-serve platform leads to duplicated infrastructure and inconsistent security. Data as a product without domain ownership creates centralized bottlenecks. A self-serve platform without federated computational governance risks becoming an ungoverned cloud sprawl. Federated computational governance without a self-serve platform reduces to manual gatekeeping, stifling the agility that the mesh is designed to provide.</w:t>
      </w:r>
    </w:p>
    <w:p w14:paraId="10A2A7DA" w14:textId="77777777" w:rsidR="007D75A8" w:rsidRPr="00853FE4" w:rsidRDefault="007D75A8">
      <w:pPr>
        <w:rPr>
          <w:color w:val="000000" w:themeColor="text1"/>
        </w:rPr>
      </w:pPr>
    </w:p>
    <w:p w14:paraId="4B0E1BBA" w14:textId="77777777" w:rsidR="007D75A8" w:rsidRPr="00853FE4" w:rsidRDefault="00000000">
      <w:pPr>
        <w:rPr>
          <w:color w:val="000000" w:themeColor="text1"/>
        </w:rPr>
      </w:pPr>
      <w:r w:rsidRPr="00853FE4">
        <w:rPr>
          <w:color w:val="000000" w:themeColor="text1"/>
        </w:rPr>
        <w:t xml:space="preserve">The four principles form a coherent system, with the EM data product at the center as their integrated result and productive tensions between principles (speed versus compliance, autonomy versus standardization, local versus global consistency) that the architecture is designed to balance rather than eliminate (see </w:t>
      </w:r>
      <w:hyperlink w:anchor="_qwl6xs1017i4">
        <w:r w:rsidRPr="00853FE4">
          <w:rPr>
            <w:color w:val="000000" w:themeColor="text1"/>
            <w:u w:val="single"/>
          </w:rPr>
          <w:t>Figure 10</w:t>
        </w:r>
      </w:hyperlink>
      <w:r w:rsidRPr="00853FE4">
        <w:rPr>
          <w:color w:val="000000" w:themeColor="text1"/>
        </w:rPr>
        <w:t>).</w:t>
      </w:r>
    </w:p>
    <w:p w14:paraId="774A9DFC" w14:textId="77777777" w:rsidR="007D75A8" w:rsidRPr="00853FE4" w:rsidRDefault="00000000">
      <w:pPr>
        <w:pStyle w:val="Heading3"/>
        <w:rPr>
          <w:color w:val="000000" w:themeColor="text1"/>
        </w:rPr>
      </w:pPr>
      <w:bookmarkStart w:id="52" w:name="_n8ip4bzi9ybu" w:colFirst="0" w:colLast="0"/>
      <w:bookmarkEnd w:id="52"/>
      <w:r w:rsidRPr="00853FE4">
        <w:rPr>
          <w:color w:val="000000" w:themeColor="text1"/>
        </w:rPr>
        <w:lastRenderedPageBreak/>
        <w:t>Resolving Architectural Tensions</w:t>
      </w:r>
    </w:p>
    <w:p w14:paraId="049BD093" w14:textId="77777777" w:rsidR="007D75A8" w:rsidRPr="00853FE4" w:rsidRDefault="00000000">
      <w:pPr>
        <w:rPr>
          <w:color w:val="000000" w:themeColor="text1"/>
        </w:rPr>
      </w:pPr>
      <w:r w:rsidRPr="00853FE4">
        <w:rPr>
          <w:color w:val="000000" w:themeColor="text1"/>
        </w:rPr>
        <w:t>When integrated, these principles resolve the fundamental tensions that characterize the NOAA Fisheries data ecosystem. The tension between domain autonomy and enterprise standardization is resolved through platform templates, allowing domains to build what they need while the platform ensures it is built correctly. The tension between development speed and regulatory compliance is resolved through computational governance, where security and privacy controls are inherited automatically rather than retrofitted manually. Finally, the tension between local optimization and global consistency is resolved through the federated model, where global policies provide guardrails but local Data Product Owners make contextual decisions about schemas and quality.</w:t>
      </w:r>
    </w:p>
    <w:p w14:paraId="689D4CD3" w14:textId="77777777" w:rsidR="007D75A8" w:rsidRPr="00853FE4" w:rsidRDefault="00000000">
      <w:pPr>
        <w:pStyle w:val="Heading3"/>
        <w:rPr>
          <w:color w:val="000000" w:themeColor="text1"/>
        </w:rPr>
      </w:pPr>
      <w:bookmarkStart w:id="53" w:name="_b3q7j8vy10k" w:colFirst="0" w:colLast="0"/>
      <w:bookmarkEnd w:id="53"/>
      <w:r w:rsidRPr="00853FE4">
        <w:rPr>
          <w:color w:val="000000" w:themeColor="text1"/>
        </w:rPr>
        <w:t>The EM Data Product as an Integrated Whole</w:t>
      </w:r>
    </w:p>
    <w:p w14:paraId="7599280B" w14:textId="77777777" w:rsidR="007D75A8" w:rsidRPr="00853FE4" w:rsidRDefault="00000000">
      <w:pPr>
        <w:rPr>
          <w:color w:val="000000" w:themeColor="text1"/>
        </w:rPr>
      </w:pPr>
      <w:r w:rsidRPr="00853FE4">
        <w:rPr>
          <w:color w:val="000000" w:themeColor="text1"/>
        </w:rPr>
        <w:t>The Electronic Monitoring case study demonstrates how this integration functions in practice, transforming a complex regulatory and scientific data flow into a manageable, scalable ecosystem.</w:t>
      </w:r>
    </w:p>
    <w:p w14:paraId="0FA235B2" w14:textId="77777777" w:rsidR="007D75A8" w:rsidRPr="00853FE4" w:rsidRDefault="007D75A8">
      <w:pPr>
        <w:pBdr>
          <w:top w:val="nil"/>
          <w:left w:val="nil"/>
          <w:bottom w:val="nil"/>
          <w:right w:val="nil"/>
          <w:between w:val="nil"/>
        </w:pBdr>
        <w:rPr>
          <w:color w:val="000000" w:themeColor="text1"/>
        </w:rPr>
      </w:pPr>
    </w:p>
    <w:p w14:paraId="5CF29F57" w14:textId="77777777" w:rsidR="007D75A8" w:rsidRPr="00853FE4" w:rsidRDefault="00000000">
      <w:pPr>
        <w:rPr>
          <w:color w:val="000000" w:themeColor="text1"/>
        </w:rPr>
      </w:pPr>
      <w:r w:rsidRPr="00853FE4">
        <w:rPr>
          <w:color w:val="000000" w:themeColor="text1"/>
        </w:rPr>
        <w:t>The EM data product does not exist in isolation. It is owned by the Fishery Monitoring domain (Section 5.1), assigning clear accountability for its lifecycle to the people who understand the intricacies of video review and species identification. It is formalized as a product (Section 5.2), specified with a data contract that guarantees a schema, asserts a 99 percent completeness SLO, and establishes clear access rules for downstream consumers. It is hosted on the self-serve platform (Section 5.3), created from a standardized Terraform template that provisions BigQuery datasets, configures IAM policies, and registers the product in Data Catalog without requiring the domain team to manage cloud infrastructure. Finally, it is governed by computational policies (Section 5.4) that enforce Magnuson-Stevens Act confidentiality provisions through row-level security and satisfy NIST 800-53 controls through inherited platform configurations, entirely avoiding manual compliance bottlenecks.</w:t>
      </w:r>
    </w:p>
    <w:p w14:paraId="62D7B6DA" w14:textId="77777777" w:rsidR="007D75A8" w:rsidRPr="00853FE4" w:rsidRDefault="007D75A8">
      <w:pPr>
        <w:pBdr>
          <w:top w:val="nil"/>
          <w:left w:val="nil"/>
          <w:bottom w:val="nil"/>
          <w:right w:val="nil"/>
          <w:between w:val="nil"/>
        </w:pBdr>
        <w:rPr>
          <w:color w:val="000000" w:themeColor="text1"/>
        </w:rPr>
      </w:pPr>
    </w:p>
    <w:p w14:paraId="088EB8C4" w14:textId="77777777" w:rsidR="007D75A8" w:rsidRPr="00853FE4" w:rsidRDefault="00000000">
      <w:pPr>
        <w:rPr>
          <w:color w:val="000000" w:themeColor="text1"/>
        </w:rPr>
      </w:pPr>
      <w:r w:rsidRPr="00853FE4">
        <w:rPr>
          <w:color w:val="000000" w:themeColor="text1"/>
        </w:rPr>
        <w:t xml:space="preserve">By integrating these four principles, the reference architecture addresses the root causes of the fragmentation identified in Section 2.2. The EM data product's journey through the three lifecycle stages defined by federal retention authorities, the variable-duration monitoring period (Alger, 2020), the 12-month minimum retention period, and the five-year NARA disposition schedule (National Archives and Records Administration [NARA], 2020), is managed end-to-end through the same four-principle integration: domain accountability, product formalization, platform automation, and computational enforcement. The result is an ecosystem where data is </w:t>
      </w:r>
      <w:r w:rsidRPr="00853FE4">
        <w:rPr>
          <w:color w:val="000000" w:themeColor="text1"/>
        </w:rPr>
        <w:lastRenderedPageBreak/>
        <w:t>discoverable, secure, and ready for analytical consumption, enabling NOAA Fisheries to meet its mission mandates with the agility that modern fisheries management requires.</w:t>
      </w:r>
    </w:p>
    <w:p w14:paraId="6652FC6F" w14:textId="77777777" w:rsidR="007D75A8" w:rsidRPr="00853FE4" w:rsidRDefault="00000000">
      <w:pPr>
        <w:pStyle w:val="Heading2"/>
        <w:rPr>
          <w:color w:val="000000" w:themeColor="text1"/>
        </w:rPr>
      </w:pPr>
      <w:bookmarkStart w:id="54" w:name="_gh8j27q2g93e" w:colFirst="0" w:colLast="0"/>
      <w:bookmarkEnd w:id="54"/>
      <w:r w:rsidRPr="00853FE4">
        <w:rPr>
          <w:color w:val="000000" w:themeColor="text1"/>
        </w:rPr>
        <w:t>5.6 The Broader Cloud Estate</w:t>
      </w:r>
    </w:p>
    <w:p w14:paraId="18AB283C" w14:textId="77777777" w:rsidR="007D75A8" w:rsidRPr="00853FE4" w:rsidRDefault="00000000">
      <w:pPr>
        <w:rPr>
          <w:color w:val="000000" w:themeColor="text1"/>
        </w:rPr>
      </w:pPr>
      <w:r w:rsidRPr="00853FE4">
        <w:rPr>
          <w:color w:val="000000" w:themeColor="text1"/>
        </w:rPr>
        <w:t>The data mesh architecture developed in Sections 5.1 through 5.5 is designed for analytical data: the datasets, quality metrics, and consumption patterns that support reporting, visualization, and machine learning use cases. A data mesh does not, however, operate in isolation. A NOAA Fisheries cloud environment must host a range of workloads that fall outside the mesh's analytical data scope: transactional systems that generate the raw inputs to data product pipelines, data integration and pipeline processing that transforms those inputs into analytical data products, production applications that support fishery management operations, scientific computing environments that domain researchers use for exploratory analysis, and increasingly, high-performance computing and AI/ML workloads that require specialized infrastructure. These workloads are not data products, and the question of where they reside within the GCP resource hierarchy relative to the data mesh is not settled by the core data mesh literature. This subsection introduces a workload taxonomy to distinguish between these categories, presents two architectural models for organizing non-mesh workloads within the broader cloud estate, and identifies the decision criteria that govern model selection.</w:t>
      </w:r>
    </w:p>
    <w:p w14:paraId="79334D93" w14:textId="77777777" w:rsidR="007D75A8" w:rsidRPr="00853FE4" w:rsidRDefault="00000000">
      <w:pPr>
        <w:pStyle w:val="Heading3"/>
        <w:rPr>
          <w:color w:val="000000" w:themeColor="text1"/>
        </w:rPr>
      </w:pPr>
      <w:bookmarkStart w:id="55" w:name="_9k6fojyb3v34" w:colFirst="0" w:colLast="0"/>
      <w:bookmarkEnd w:id="55"/>
      <w:r w:rsidRPr="00853FE4">
        <w:rPr>
          <w:color w:val="000000" w:themeColor="text1"/>
        </w:rPr>
        <w:t>Workload Taxonomy</w:t>
      </w:r>
    </w:p>
    <w:p w14:paraId="4034010E" w14:textId="77777777" w:rsidR="007D75A8" w:rsidRPr="00853FE4" w:rsidRDefault="00000000">
      <w:pPr>
        <w:rPr>
          <w:color w:val="000000" w:themeColor="text1"/>
        </w:rPr>
      </w:pPr>
      <w:r w:rsidRPr="00853FE4">
        <w:rPr>
          <w:color w:val="000000" w:themeColor="text1"/>
        </w:rPr>
        <w:t>Before addressing where workloads reside, it is necessary to distinguish between workload categories, each of which has different requirements for security posture, operational management, release cadence, and cost attribution.</w:t>
      </w:r>
    </w:p>
    <w:p w14:paraId="26194B48" w14:textId="77777777" w:rsidR="007D75A8" w:rsidRPr="00853FE4" w:rsidRDefault="007D75A8">
      <w:pPr>
        <w:pBdr>
          <w:top w:val="nil"/>
          <w:left w:val="nil"/>
          <w:bottom w:val="nil"/>
          <w:right w:val="nil"/>
          <w:between w:val="nil"/>
        </w:pBdr>
        <w:rPr>
          <w:color w:val="000000" w:themeColor="text1"/>
        </w:rPr>
      </w:pPr>
    </w:p>
    <w:p w14:paraId="3369D0CA" w14:textId="77777777" w:rsidR="007D75A8" w:rsidRPr="00853FE4" w:rsidRDefault="00000000">
      <w:pPr>
        <w:rPr>
          <w:color w:val="000000" w:themeColor="text1"/>
        </w:rPr>
      </w:pPr>
      <w:r w:rsidRPr="00853FE4">
        <w:rPr>
          <w:b/>
          <w:bCs/>
          <w:color w:val="000000" w:themeColor="text1"/>
        </w:rPr>
        <w:t>Transactional Systems That Feed Data Products.</w:t>
      </w:r>
      <w:r w:rsidRPr="00853FE4">
        <w:rPr>
          <w:color w:val="000000" w:themeColor="text1"/>
        </w:rPr>
        <w:t xml:space="preserve"> These are the operational systems that generate the raw data consumed by data product pipelines: observer data collection applications, dealer reporting platforms, VMS and AIS telemetry ingestion, captain's logbook submissions, and permit application databases. Dehghani (2022) explicitly distinguishes operational systems from analytical systems: operational systems manage current state and execute business transactions; analytical systems aggregate historical data for insight. The data mesh governs the analytical outputs of these transactional systems, not the systems themselves. Transactional systems often have statutory hosting or availability requirements (MSA confidentiality, real-time enforcement access), frequently run on legacy relational database systems and on-premises platforms, and are the upstream inputs to data product ingestion pipelines. The Anti-Corruption Layer pattern described in Section 6.2, which wraps legacy systems behind modern APIs, applies to these systems independently of where they reside in the resource hierarchy.</w:t>
      </w:r>
    </w:p>
    <w:p w14:paraId="7D7BA1BB" w14:textId="77777777" w:rsidR="007D75A8" w:rsidRPr="00853FE4" w:rsidRDefault="007D75A8">
      <w:pPr>
        <w:pBdr>
          <w:top w:val="nil"/>
          <w:left w:val="nil"/>
          <w:bottom w:val="nil"/>
          <w:right w:val="nil"/>
          <w:between w:val="nil"/>
        </w:pBdr>
        <w:rPr>
          <w:color w:val="000000" w:themeColor="text1"/>
        </w:rPr>
      </w:pPr>
    </w:p>
    <w:p w14:paraId="0AF886A9" w14:textId="77777777" w:rsidR="007D75A8" w:rsidRPr="00853FE4" w:rsidRDefault="00000000">
      <w:pPr>
        <w:rPr>
          <w:color w:val="000000" w:themeColor="text1"/>
        </w:rPr>
      </w:pPr>
      <w:r w:rsidRPr="00853FE4">
        <w:rPr>
          <w:b/>
          <w:bCs/>
          <w:color w:val="000000" w:themeColor="text1"/>
        </w:rPr>
        <w:t>Application Development.</w:t>
      </w:r>
      <w:r w:rsidRPr="00853FE4">
        <w:rPr>
          <w:color w:val="000000" w:themeColor="text1"/>
        </w:rPr>
        <w:t xml:space="preserve"> Beyond analytical data products, NOAA Fisheries develops and maintains a wide range of production applications that serve internal operational needs, field operations including at-sea data collection, and public-facing services. These applications are built on a mix of custom development, platform-as-a-service (PaaS) offerings, and software-as-a-service (SaaS) solutions, all of which must be integrated with the broader data ecosystem. They differ from data products in that they have user interface layers, maintain session state, implement business rules, and follow software release cadences that differ from data product schema evolution cycles. They are built by software engineers using a variety of programming languages and frameworks, and they require distinct CI/CD pipelines, testing frameworks, and operational support models that are not provided by the data mesh platform services. The data mesh platform provides the underlying deployment infrastructure (Cloud Run, GKE) and governance guardrails (IAM, VPC Service Controls) for custom application workloads, but it does not prescribe the development approach, programming languages, or technology choices. PaaS and SaaS offerings that generate or consume data must be integrated with the mesh through the data product interface patterns described in Section 5.2, ensuring they participate in the mesh's governance and discovery model even when their underlying platform is external to the data mesh infrastructure.</w:t>
      </w:r>
    </w:p>
    <w:p w14:paraId="7B52C14E" w14:textId="77777777" w:rsidR="007D75A8" w:rsidRPr="00853FE4" w:rsidRDefault="007D75A8">
      <w:pPr>
        <w:pBdr>
          <w:top w:val="nil"/>
          <w:left w:val="nil"/>
          <w:bottom w:val="nil"/>
          <w:right w:val="nil"/>
          <w:between w:val="nil"/>
        </w:pBdr>
        <w:rPr>
          <w:color w:val="000000" w:themeColor="text1"/>
        </w:rPr>
      </w:pPr>
    </w:p>
    <w:p w14:paraId="30CECB37" w14:textId="77777777" w:rsidR="007D75A8" w:rsidRPr="00853FE4" w:rsidRDefault="00000000">
      <w:pPr>
        <w:rPr>
          <w:color w:val="000000" w:themeColor="text1"/>
        </w:rPr>
      </w:pPr>
      <w:r w:rsidRPr="00853FE4">
        <w:rPr>
          <w:b/>
          <w:bCs/>
          <w:color w:val="000000" w:themeColor="text1"/>
        </w:rPr>
        <w:t>Scientific Computing Environments.</w:t>
      </w:r>
      <w:r w:rsidRPr="00853FE4">
        <w:rPr>
          <w:color w:val="000000" w:themeColor="text1"/>
        </w:rPr>
        <w:t xml:space="preserve"> Domain scientists rely on a heterogeneous mix of computing environments for data exploration, analysis, and model development. These range from managed cloud-based development environments, such as GCP Cloud Workstations and Vertex AI Workbench, to locally installed tools running on agency-managed workstations. Both common open-source languages (Python, R) and domain-specific legacy tools are in active use, and the spectrum of approaches continues to evolve. The emergence of open science practices and version-controlled collaborative platforms such as GitHub is reshaping how analytical code, models, and results are shared within and across domain teams. These environments are inherently ephemeral and personal: they do not have data product contracts, quality SLOs, or consumer-facing interfaces. They are the tools through which scientists explore data, prototype analyses, and develop models before formalizing results into published data products. A scientific computing environment is not a data product, and governing it as one would impose overhead that serves no analytical consumer. The data mesh platform provides the underlying infrastructure (Cloud Run, Vertex AI, GKE) and governance guardrails (IAM, VPC Service Controls, audit logging) for these environments, but it does not prescribe which tools domain scientists must use.</w:t>
      </w:r>
    </w:p>
    <w:p w14:paraId="0856DCD1" w14:textId="77777777" w:rsidR="007D75A8" w:rsidRPr="00853FE4" w:rsidRDefault="007D75A8">
      <w:pPr>
        <w:pBdr>
          <w:top w:val="nil"/>
          <w:left w:val="nil"/>
          <w:bottom w:val="nil"/>
          <w:right w:val="nil"/>
          <w:between w:val="nil"/>
        </w:pBdr>
        <w:rPr>
          <w:color w:val="000000" w:themeColor="text1"/>
        </w:rPr>
      </w:pPr>
    </w:p>
    <w:p w14:paraId="0761FD9E" w14:textId="77777777" w:rsidR="007D75A8" w:rsidRPr="00853FE4" w:rsidRDefault="00000000">
      <w:pPr>
        <w:rPr>
          <w:color w:val="000000" w:themeColor="text1"/>
        </w:rPr>
      </w:pPr>
      <w:r w:rsidRPr="00853FE4">
        <w:rPr>
          <w:b/>
          <w:bCs/>
          <w:color w:val="000000" w:themeColor="text1"/>
        </w:rPr>
        <w:lastRenderedPageBreak/>
        <w:t>Data Integration and Pipeline Processing.</w:t>
      </w:r>
      <w:r w:rsidRPr="00853FE4">
        <w:rPr>
          <w:color w:val="000000" w:themeColor="text1"/>
        </w:rPr>
        <w:t xml:space="preserve"> Between the transactional source systems and the published data products lies a substantial layer of data integration and pipeline processing. Data must be extracted from source systems, transformed to meet domain quality standards, validated against governance rules, and loaded into data product storage. These pipelines include batch-oriented ETL and ELT workflows, stream processing for near-real-time data feeds, and event-driven transformations triggered by data arrival. They are managed through workflow orchestration tools and are subject to different operational characteristics than either the source systems or the data products: they are compute-intensive during processing windows, have scheduling dependencies, and require their own monitoring and error handling. Pipeline code evolves independently of both source schemas and data product contracts, and a domain team may maintain pipeline code in a separate repository with its own CI/CD lifecycle. In the EM context, for example, pipelines move data through the lifecycle from raw video and sensor data ingestion through structured review records to summary-level consumption views, each stage governed by different quality rules and serving different analytical consumers. These pipelines are not data products themselves, but they are the infrastructure through which source data becomes analytical data.</w:t>
      </w:r>
    </w:p>
    <w:p w14:paraId="554B5902" w14:textId="77777777" w:rsidR="007D75A8" w:rsidRPr="00853FE4" w:rsidRDefault="007D75A8">
      <w:pPr>
        <w:pBdr>
          <w:top w:val="nil"/>
          <w:left w:val="nil"/>
          <w:bottom w:val="nil"/>
          <w:right w:val="nil"/>
          <w:between w:val="nil"/>
        </w:pBdr>
        <w:rPr>
          <w:color w:val="000000" w:themeColor="text1"/>
        </w:rPr>
      </w:pPr>
    </w:p>
    <w:p w14:paraId="46A28DEC" w14:textId="77777777" w:rsidR="007D75A8" w:rsidRPr="00853FE4" w:rsidRDefault="00000000">
      <w:pPr>
        <w:rPr>
          <w:color w:val="000000" w:themeColor="text1"/>
        </w:rPr>
      </w:pPr>
      <w:r w:rsidRPr="00853FE4">
        <w:rPr>
          <w:b/>
          <w:bCs/>
          <w:color w:val="000000" w:themeColor="text1"/>
        </w:rPr>
        <w:t>High-Performance Computing (HPC) and AI/ML Workloads.</w:t>
      </w:r>
      <w:r w:rsidRPr="00853FE4">
        <w:rPr>
          <w:color w:val="000000" w:themeColor="text1"/>
        </w:rPr>
        <w:t xml:space="preserve"> Fisheries science increasingly depends on computationally intensive workloads that transcend traditional analytical data processing. Stock assessment modeling, ecosystem simulations, and species identification from electronic monitoring video all require compute capabilities that analytical databases and serverless data processing services do not provide. These workloads span a spectrum of infrastructure requirements: some benefit from batch job scheduling and parallel processing across many cores; others require specialized hardware such as GPUs or TPUs for deep learning model training and inference. The core data mesh platform services described in Section 5.3 do not provide these capabilities, and forcing HPC or AI/ML workloads into the same analytical data processing patterns would be inefficient and costly. This paper does not fully specify an HPC and AI/ML architecture (Section 9 addresses future directions for this domain), but it identifies these as workload categories that the broader cloud estate must support through standardized access patterns rather than leaving domain scientists to procure and manage their own compute infrastructure.</w:t>
      </w:r>
    </w:p>
    <w:p w14:paraId="652B7BA9" w14:textId="77777777" w:rsidR="007D75A8" w:rsidRPr="00853FE4" w:rsidRDefault="00000000">
      <w:pPr>
        <w:pStyle w:val="Heading3"/>
        <w:rPr>
          <w:color w:val="000000" w:themeColor="text1"/>
        </w:rPr>
      </w:pPr>
      <w:bookmarkStart w:id="56" w:name="_3aeweoijef6q" w:colFirst="0" w:colLast="0"/>
      <w:bookmarkEnd w:id="56"/>
      <w:r w:rsidRPr="00853FE4">
        <w:rPr>
          <w:color w:val="000000" w:themeColor="text1"/>
        </w:rPr>
        <w:t>Two Architectural Models for Project Placement</w:t>
      </w:r>
    </w:p>
    <w:p w14:paraId="5033F5EF" w14:textId="77777777" w:rsidR="007D75A8" w:rsidRPr="00853FE4" w:rsidRDefault="00000000">
      <w:pPr>
        <w:rPr>
          <w:color w:val="000000" w:themeColor="text1"/>
        </w:rPr>
      </w:pPr>
      <w:r w:rsidRPr="00853FE4">
        <w:rPr>
          <w:color w:val="000000" w:themeColor="text1"/>
        </w:rPr>
        <w:t>A fundamental architectural decision is where these non-mesh workloads reside within the GCP resource hierarchy relative to the domain projects that house data products.</w:t>
      </w:r>
    </w:p>
    <w:p w14:paraId="746EAF1B" w14:textId="77777777" w:rsidR="007D75A8" w:rsidRPr="00853FE4" w:rsidRDefault="007D75A8">
      <w:pPr>
        <w:pBdr>
          <w:top w:val="nil"/>
          <w:left w:val="nil"/>
          <w:bottom w:val="nil"/>
          <w:right w:val="nil"/>
          <w:between w:val="nil"/>
        </w:pBdr>
        <w:rPr>
          <w:color w:val="000000" w:themeColor="text1"/>
        </w:rPr>
      </w:pPr>
    </w:p>
    <w:p w14:paraId="5540A47B" w14:textId="77777777" w:rsidR="007D75A8" w:rsidRPr="00853FE4" w:rsidRDefault="00000000">
      <w:pPr>
        <w:rPr>
          <w:color w:val="000000" w:themeColor="text1"/>
        </w:rPr>
      </w:pPr>
      <w:r w:rsidRPr="00853FE4">
        <w:rPr>
          <w:b/>
          <w:bCs/>
          <w:color w:val="000000" w:themeColor="text1"/>
        </w:rPr>
        <w:lastRenderedPageBreak/>
        <w:t>Model A: Domain-Coupled.</w:t>
      </w:r>
      <w:r w:rsidRPr="00853FE4">
        <w:rPr>
          <w:color w:val="000000" w:themeColor="text1"/>
        </w:rPr>
        <w:t xml:space="preserve"> In the domain-coupled model, all workloads associated with a domain, across all five workload categories identified in the taxonomy above, reside within the domain's GCP folder. The resource hierarchy extends the structure introduced in Section 5.3:</w:t>
      </w:r>
    </w:p>
    <w:p w14:paraId="2BF2DE53" w14:textId="77777777" w:rsidR="007D75A8" w:rsidRPr="00853FE4" w:rsidRDefault="007D75A8">
      <w:pPr>
        <w:pBdr>
          <w:top w:val="nil"/>
          <w:left w:val="nil"/>
          <w:bottom w:val="nil"/>
          <w:right w:val="nil"/>
          <w:between w:val="nil"/>
        </w:pBdr>
        <w:rPr>
          <w:color w:val="000000" w:themeColor="text1"/>
        </w:rPr>
      </w:pPr>
    </w:p>
    <w:p w14:paraId="1F47CF40" w14:textId="79D70F4F"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Organization → Domains folder</w:t>
      </w:r>
    </w:p>
    <w:p w14:paraId="20E68D77"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Stock Assessment folder</w:t>
      </w:r>
    </w:p>
    <w:p w14:paraId="47CDBF15"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data-product-1 (BigQuery, Data Catalog)</w:t>
      </w:r>
    </w:p>
    <w:p w14:paraId="3B2872F4"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pipeline-1 (Cloud Dataflow, Cloud Composer)</w:t>
      </w:r>
    </w:p>
    <w:p w14:paraId="19CECAD1"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app-1 (Cloud Run, GKE)</w:t>
      </w:r>
    </w:p>
    <w:p w14:paraId="2D47750A"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science-env-1 (Vertex AI Workbench, Cloud Workstations)</w:t>
      </w:r>
    </w:p>
    <w:p w14:paraId="2961D48E"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hpc-workload-1 (Batch, GPU compute)</w:t>
      </w:r>
    </w:p>
    <w:p w14:paraId="29240FD9"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Fishery Monitoring folder</w:t>
      </w:r>
    </w:p>
    <w:p w14:paraId="6780BD83"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data-product-1 (BigQuery, Data Catalog, Dataplex)</w:t>
      </w:r>
    </w:p>
    <w:p w14:paraId="50F347F2"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pipeline-1 (Cloud Dataflow, Cloud Storage)</w:t>
      </w:r>
    </w:p>
    <w:p w14:paraId="201BE456"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app-1 (Cloud Run, Looker Studio)</w:t>
      </w:r>
    </w:p>
    <w:p w14:paraId="69136D6A"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science-env-1 (Vertex AI Workbench, Cloud Workstations)</w:t>
      </w:r>
    </w:p>
    <w:p w14:paraId="295961DD"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hpc-workload-1 (GPU compute, Batch)</w:t>
      </w:r>
    </w:p>
    <w:p w14:paraId="650C1368"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Protected Species folder</w:t>
      </w:r>
    </w:p>
    <w:p w14:paraId="1B51587F"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data-product-1, pipeline-1, app-1, science-env-1, hpc-workload-1</w:t>
      </w:r>
    </w:p>
    <w:p w14:paraId="562649FB" w14:textId="416311A2" w:rsidR="007D75A8" w:rsidRPr="00853FE4" w:rsidRDefault="00000000" w:rsidP="00BB72A8">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 (remaining </w:t>
      </w:r>
      <w:r w:rsidRPr="00853FE4">
        <w:rPr>
          <w:rFonts w:ascii="Roboto Mono" w:eastAsia="Roboto Mono" w:hAnsi="Roboto Mono" w:cs="Roboto Mono"/>
          <w:color w:val="000000" w:themeColor="text1"/>
          <w:sz w:val="18"/>
          <w:szCs w:val="18"/>
        </w:rPr>
        <w:t>5 domains with the same project structure)</w:t>
      </w:r>
    </w:p>
    <w:p w14:paraId="250F6196" w14:textId="77777777" w:rsidR="00BB72A8" w:rsidRPr="00853FE4" w:rsidRDefault="00BB72A8" w:rsidP="00BB72A8">
      <w:pPr>
        <w:rPr>
          <w:rFonts w:ascii="Roboto Mono" w:eastAsia="Roboto Mono" w:hAnsi="Roboto Mono" w:cs="Roboto Mono"/>
          <w:color w:val="000000" w:themeColor="text1"/>
          <w:sz w:val="18"/>
          <w:szCs w:val="18"/>
        </w:rPr>
      </w:pPr>
    </w:p>
    <w:p w14:paraId="15F0F9C7" w14:textId="77777777" w:rsidR="007D75A8" w:rsidRPr="00853FE4" w:rsidRDefault="00000000">
      <w:pPr>
        <w:rPr>
          <w:color w:val="000000" w:themeColor="text1"/>
        </w:rPr>
      </w:pPr>
      <w:r w:rsidRPr="00853FE4">
        <w:rPr>
          <w:color w:val="000000" w:themeColor="text1"/>
        </w:rPr>
        <w:t xml:space="preserve">The GCP resource hierarchy under the domain-coupled model is shown in </w:t>
      </w:r>
      <w:hyperlink w:anchor="_gyi7kond0afn">
        <w:r w:rsidRPr="00853FE4">
          <w:rPr>
            <w:color w:val="000000" w:themeColor="text1"/>
            <w:u w:val="single"/>
          </w:rPr>
          <w:t>Figure 11</w:t>
        </w:r>
      </w:hyperlink>
      <w:r w:rsidRPr="00853FE4">
        <w:rPr>
          <w:color w:val="000000" w:themeColor="text1"/>
        </w:rPr>
        <w:t>.</w:t>
      </w:r>
    </w:p>
    <w:p w14:paraId="58AB07BB" w14:textId="77777777" w:rsidR="007D75A8" w:rsidRPr="00853FE4" w:rsidRDefault="007D75A8">
      <w:pPr>
        <w:pBdr>
          <w:top w:val="nil"/>
          <w:left w:val="nil"/>
          <w:bottom w:val="nil"/>
          <w:right w:val="nil"/>
          <w:between w:val="nil"/>
        </w:pBdr>
        <w:rPr>
          <w:color w:val="000000" w:themeColor="text1"/>
        </w:rPr>
      </w:pPr>
    </w:p>
    <w:p w14:paraId="345472DE" w14:textId="77777777" w:rsidR="007D75A8" w:rsidRPr="00853FE4" w:rsidRDefault="00000000">
      <w:pPr>
        <w:rPr>
          <w:color w:val="000000" w:themeColor="text1"/>
        </w:rPr>
      </w:pPr>
      <w:r w:rsidRPr="00853FE4">
        <w:rPr>
          <w:color w:val="000000" w:themeColor="text1"/>
        </w:rPr>
        <w:t>The domain-coupled model has several advantages. Ownership coherence is the strongest: the same domain team owns their entire cloud estate, data and applications together, which aligns with Perrin and Broda's (2024) model of the domain as a self-contained operating unit. Security inheritance is simplified because all workloads under a single folder inherit the same IAM policies, VPC Service Controls perimeter, and CMEK configuration. A domain Data Product Owner can grant a consumer read-only access to data products without inadvertently exposing model code or transactional data.</w:t>
      </w:r>
    </w:p>
    <w:p w14:paraId="26C771A3" w14:textId="77777777" w:rsidR="007D75A8" w:rsidRPr="00853FE4" w:rsidRDefault="007D75A8">
      <w:pPr>
        <w:pBdr>
          <w:top w:val="nil"/>
          <w:left w:val="nil"/>
          <w:bottom w:val="nil"/>
          <w:right w:val="nil"/>
          <w:between w:val="nil"/>
        </w:pBdr>
        <w:rPr>
          <w:color w:val="000000" w:themeColor="text1"/>
        </w:rPr>
      </w:pPr>
    </w:p>
    <w:p w14:paraId="4C5F3C87" w14:textId="77777777" w:rsidR="007D75A8" w:rsidRPr="00853FE4" w:rsidRDefault="00000000">
      <w:pPr>
        <w:rPr>
          <w:color w:val="000000" w:themeColor="text1"/>
        </w:rPr>
      </w:pPr>
      <w:r w:rsidRPr="00853FE4">
        <w:rPr>
          <w:color w:val="000000" w:themeColor="text1"/>
        </w:rPr>
        <w:t xml:space="preserve">The domain-coupled model has corresponding disadvantages. Data classification conflict is the most significant: a permit system processing personally identifiable information (PII) and business-identifiable information (BII) requires stringent access controls and DLP scanning, while a stock assessment data product may be intended for public consumption under the OPEN Government Data Act. If both workloads sit in the same folder, the folder-level IAM and VPC Service Controls policies must accommodate the most restrictive classification, potentially limiting access to data products that should be openly discoverable. Operational expertise is </w:t>
      </w:r>
      <w:r w:rsidRPr="00853FE4">
        <w:rPr>
          <w:color w:val="000000" w:themeColor="text1"/>
        </w:rPr>
        <w:lastRenderedPageBreak/>
        <w:t>fragmented: platform teams chartered for data infrastructure may lack the HPC or application management expertise needed for non-data workloads. Domain DPOs are responsible for data products, not for application operations or HPC cluster administration, creating operational gaps that no role is clearly chartered to fill. Cross-domain shared services pose a specific problem: a vessel registry that supports Enforcement, Fishery Monitoring, and Stock Assessment simultaneously does not cleanly belong to any single domain, and placing it in one domain's folder distorts ownership and can complicate cross-domain access patterns.</w:t>
      </w:r>
    </w:p>
    <w:p w14:paraId="7CA1D75D" w14:textId="77777777" w:rsidR="007D75A8" w:rsidRPr="00853FE4" w:rsidRDefault="007D75A8">
      <w:pPr>
        <w:pBdr>
          <w:top w:val="nil"/>
          <w:left w:val="nil"/>
          <w:bottom w:val="nil"/>
          <w:right w:val="nil"/>
          <w:between w:val="nil"/>
        </w:pBdr>
        <w:rPr>
          <w:color w:val="000000" w:themeColor="text1"/>
        </w:rPr>
      </w:pPr>
    </w:p>
    <w:p w14:paraId="67D00032" w14:textId="77777777" w:rsidR="007D75A8" w:rsidRPr="00853FE4" w:rsidRDefault="00000000">
      <w:pPr>
        <w:rPr>
          <w:color w:val="000000" w:themeColor="text1"/>
        </w:rPr>
      </w:pPr>
      <w:r w:rsidRPr="00853FE4">
        <w:rPr>
          <w:b/>
          <w:bCs/>
          <w:color w:val="000000" w:themeColor="text1"/>
        </w:rPr>
        <w:t>Model B: Domain-Separated.</w:t>
      </w:r>
      <w:r w:rsidRPr="00853FE4">
        <w:rPr>
          <w:color w:val="000000" w:themeColor="text1"/>
        </w:rPr>
        <w:t xml:space="preserve"> In the domain-separated model, the data mesh sits in Domain folders as designed in Section 5.3, but non-mesh workloads reside in separate folder hierarchies organized by workload type rather than by domain affiliation:</w:t>
      </w:r>
    </w:p>
    <w:p w14:paraId="31A47048" w14:textId="77777777" w:rsidR="007D75A8" w:rsidRPr="00853FE4" w:rsidRDefault="007D75A8">
      <w:pPr>
        <w:pBdr>
          <w:top w:val="nil"/>
          <w:left w:val="nil"/>
          <w:bottom w:val="nil"/>
          <w:right w:val="nil"/>
          <w:between w:val="nil"/>
        </w:pBdr>
        <w:rPr>
          <w:color w:val="000000" w:themeColor="text1"/>
        </w:rPr>
      </w:pPr>
    </w:p>
    <w:p w14:paraId="0C744623" w14:textId="5A1F72D6"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Organization → folders</w:t>
      </w:r>
    </w:p>
    <w:p w14:paraId="63B3673B"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Domains (data products)</w:t>
      </w:r>
    </w:p>
    <w:p w14:paraId="748C3D50"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Stock Assessment (data products)</w:t>
      </w:r>
    </w:p>
    <w:p w14:paraId="43192212"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Fishery Monitoring (data products)</w:t>
      </w:r>
    </w:p>
    <w:p w14:paraId="363CD7B1"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Protected Species (data products)</w:t>
      </w:r>
    </w:p>
    <w:p w14:paraId="572B8242"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 (remaining </w:t>
      </w:r>
      <w:r w:rsidRPr="00853FE4">
        <w:rPr>
          <w:rFonts w:ascii="Roboto Mono" w:eastAsia="Roboto Mono" w:hAnsi="Roboto Mono" w:cs="Roboto Mono"/>
          <w:color w:val="000000" w:themeColor="text1"/>
          <w:sz w:val="18"/>
          <w:szCs w:val="18"/>
        </w:rPr>
        <w:t>5 domains)</w:t>
      </w:r>
    </w:p>
    <w:p w14:paraId="3B30F977"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Data Integration (pipelines)</w:t>
      </w:r>
    </w:p>
    <w:p w14:paraId="60DF1BC0"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pipeline-1, pipeline-2, pipeline-3</w:t>
      </w:r>
    </w:p>
    <w:p w14:paraId="6A388690"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Applications (production and field apps)</w:t>
      </w:r>
    </w:p>
    <w:p w14:paraId="158F3F25"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app-1, app-2, app-3</w:t>
      </w:r>
    </w:p>
    <w:p w14:paraId="33763972"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Scientific Computing (research environments)</w:t>
      </w:r>
    </w:p>
    <w:p w14:paraId="59869D6F"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env-1, env-2, env-3</w:t>
      </w:r>
    </w:p>
    <w:p w14:paraId="1C528F0E"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HPC and AI/ML (specialized compute)</w:t>
      </w:r>
    </w:p>
    <w:p w14:paraId="2646DCDC"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workload-1, workload-2, workload-3</w:t>
      </w:r>
    </w:p>
    <w:p w14:paraId="0793B66C"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Platform (shared infrastructure: IAM, networking, logging, billing)</w:t>
      </w:r>
    </w:p>
    <w:p w14:paraId="48CA002F" w14:textId="77777777" w:rsidR="007D75A8" w:rsidRPr="00853FE4" w:rsidRDefault="00000000">
      <w:pPr>
        <w:rPr>
          <w:rFonts w:ascii="Roboto Mono" w:eastAsia="Roboto Mono" w:hAnsi="Roboto Mono" w:cs="Roboto Mono"/>
          <w:color w:val="000000" w:themeColor="text1"/>
          <w:sz w:val="18"/>
          <w:szCs w:val="18"/>
        </w:rPr>
      </w:pPr>
      <w:r w:rsidRPr="00853FE4">
        <w:rPr>
          <w:rFonts w:ascii="Nova Mono" w:eastAsia="Nova Mono" w:hAnsi="Nova Mono" w:cs="Nova Mono"/>
          <w:color w:val="000000" w:themeColor="text1"/>
          <w:sz w:val="18"/>
          <w:szCs w:val="18"/>
        </w:rPr>
        <w:t xml:space="preserve">  → Security (governance, compliance, audit, DLP)</w:t>
      </w:r>
    </w:p>
    <w:p w14:paraId="0875F8B3" w14:textId="03855031" w:rsidR="007D75A8" w:rsidRPr="00853FE4" w:rsidRDefault="007D75A8">
      <w:pPr>
        <w:pBdr>
          <w:top w:val="nil"/>
          <w:left w:val="nil"/>
          <w:bottom w:val="nil"/>
          <w:right w:val="nil"/>
          <w:between w:val="nil"/>
        </w:pBdr>
        <w:rPr>
          <w:color w:val="000000" w:themeColor="text1"/>
        </w:rPr>
      </w:pPr>
    </w:p>
    <w:p w14:paraId="30D2948A" w14:textId="77777777" w:rsidR="007D75A8" w:rsidRPr="00853FE4" w:rsidRDefault="00000000">
      <w:pPr>
        <w:rPr>
          <w:color w:val="000000" w:themeColor="text1"/>
        </w:rPr>
      </w:pPr>
      <w:r w:rsidRPr="00853FE4">
        <w:rPr>
          <w:color w:val="000000" w:themeColor="text1"/>
        </w:rPr>
        <w:t xml:space="preserve">The alternative resource hierarchy under the domain-separated model is shown in </w:t>
      </w:r>
      <w:hyperlink w:anchor="_jjh2weutovhq">
        <w:r w:rsidRPr="00853FE4">
          <w:rPr>
            <w:color w:val="000000" w:themeColor="text1"/>
            <w:u w:val="single"/>
          </w:rPr>
          <w:t>Figu</w:t>
        </w:r>
        <w:r w:rsidRPr="00853FE4">
          <w:rPr>
            <w:color w:val="000000" w:themeColor="text1"/>
            <w:u w:val="single"/>
          </w:rPr>
          <w:t>r</w:t>
        </w:r>
        <w:r w:rsidRPr="00853FE4">
          <w:rPr>
            <w:color w:val="000000" w:themeColor="text1"/>
            <w:u w:val="single"/>
          </w:rPr>
          <w:t>e 12</w:t>
        </w:r>
      </w:hyperlink>
      <w:r w:rsidRPr="00853FE4">
        <w:rPr>
          <w:color w:val="000000" w:themeColor="text1"/>
        </w:rPr>
        <w:t>.</w:t>
      </w:r>
    </w:p>
    <w:p w14:paraId="19993DBD" w14:textId="77777777" w:rsidR="007D75A8" w:rsidRPr="00853FE4" w:rsidRDefault="007D75A8">
      <w:pPr>
        <w:pBdr>
          <w:top w:val="nil"/>
          <w:left w:val="nil"/>
          <w:bottom w:val="nil"/>
          <w:right w:val="nil"/>
          <w:between w:val="nil"/>
        </w:pBdr>
        <w:rPr>
          <w:color w:val="000000" w:themeColor="text1"/>
        </w:rPr>
      </w:pPr>
    </w:p>
    <w:p w14:paraId="26E239B4" w14:textId="77777777" w:rsidR="007D75A8" w:rsidRPr="00853FE4" w:rsidRDefault="00000000">
      <w:pPr>
        <w:rPr>
          <w:color w:val="000000" w:themeColor="text1"/>
        </w:rPr>
      </w:pPr>
      <w:r w:rsidRPr="00853FE4">
        <w:rPr>
          <w:color w:val="000000" w:themeColor="text1"/>
        </w:rPr>
        <w:t xml:space="preserve">The domain-separated model has several advantages. Classification boundary integrity is the strongest: each folder can be scoped to its appropriate data classification independently. Applications handling confidential data (PII, BII) can be placed in folders with stricter IAM policies and DLP scanning, while public-facing data products reside in the Domains folder with access policies appropriate for open discovery. The NIST common control inheritance model (Section 5.4) remains clean because all folders share the same FISMA MODERATE baseline imposed by the common control framework. Distributed operational ownership is clarified: </w:t>
      </w:r>
      <w:r w:rsidRPr="00853FE4">
        <w:rPr>
          <w:color w:val="000000" w:themeColor="text1"/>
        </w:rPr>
        <w:lastRenderedPageBreak/>
        <w:t>applications managed by OCIO operations and regional IT, data products managed by domain DPOs, science computing managed by domain scientists with platform team support, and HPC resources managed by a centralized compute team. Each team operates within its managed scope without confusing accountability. Cross-domain shared services like a vessel registry or species taxonomy service live in the Applications folder where they are understood as shared infrastructure, with access policies defined at the project level rather than forced through folder inheritance.</w:t>
      </w:r>
    </w:p>
    <w:p w14:paraId="4FCC7127" w14:textId="77777777" w:rsidR="007D75A8" w:rsidRPr="00853FE4" w:rsidRDefault="007D75A8">
      <w:pPr>
        <w:pBdr>
          <w:top w:val="nil"/>
          <w:left w:val="nil"/>
          <w:bottom w:val="nil"/>
          <w:right w:val="nil"/>
          <w:between w:val="nil"/>
        </w:pBdr>
        <w:rPr>
          <w:color w:val="000000" w:themeColor="text1"/>
        </w:rPr>
      </w:pPr>
    </w:p>
    <w:p w14:paraId="711DB8EF" w14:textId="77777777" w:rsidR="007D75A8" w:rsidRPr="00853FE4" w:rsidRDefault="00000000">
      <w:pPr>
        <w:rPr>
          <w:color w:val="000000" w:themeColor="text1"/>
        </w:rPr>
      </w:pPr>
      <w:r w:rsidRPr="00853FE4">
        <w:rPr>
          <w:color w:val="000000" w:themeColor="text1"/>
        </w:rPr>
        <w:t>The domain-separated model has corresponding disadvantages. Cross-folder IAM complexity is the most significant: a stock assessment model in the Science Computing folder needs read access to data products in the Stock Assessment domain folder. IAM policies must span folder boundaries, increasing policy management complexity. Each cross-folder reference is an integration point that must be maintained, tested, and audited. Fragmented ownership experience is a practical concern: a scientist who both runs a stock assessment model and publishes its results as a data product must work across two folders with potentially different IAM bindings, monitoring dashboards, and billing views. The unified ownership experience of Model A is lost. Governance overhead increases because workloads in separate folders are governed by separate processes: application lifecycle management, science compute allocation, HPC resource scheduling, and data product lifecycle management operate in parallel governance tracks rather than a unified framework.</w:t>
      </w:r>
    </w:p>
    <w:p w14:paraId="1C4CABE0" w14:textId="77777777" w:rsidR="007D75A8" w:rsidRPr="00853FE4" w:rsidRDefault="00000000">
      <w:pPr>
        <w:pStyle w:val="Heading3"/>
        <w:rPr>
          <w:color w:val="000000" w:themeColor="text1"/>
        </w:rPr>
      </w:pPr>
      <w:bookmarkStart w:id="57" w:name="_oscvo6t48dyo" w:colFirst="0" w:colLast="0"/>
      <w:bookmarkEnd w:id="57"/>
      <w:r w:rsidRPr="00853FE4">
        <w:rPr>
          <w:color w:val="000000" w:themeColor="text1"/>
        </w:rPr>
        <w:t>How the EM Case Study Illustrates Both Models</w:t>
      </w:r>
    </w:p>
    <w:p w14:paraId="446A7E60" w14:textId="77777777" w:rsidR="007D75A8" w:rsidRPr="00853FE4" w:rsidRDefault="00000000">
      <w:pPr>
        <w:rPr>
          <w:color w:val="000000" w:themeColor="text1"/>
        </w:rPr>
      </w:pPr>
      <w:r w:rsidRPr="00853FE4">
        <w:rPr>
          <w:color w:val="000000" w:themeColor="text1"/>
        </w:rPr>
        <w:t>The EM data product developed throughout Section 5 illustrates the practical implications of model selection. In the Fishery Monitoring domain, the architecture deployed in Section 5.3 provisions the EM data product itself: BigQuery datasets, Data Catalog entries, Dataplex quality rules, and Cloud Monitoring SLO tracking. But the EM data product depends on upstream workloads that are not themselves data products.</w:t>
      </w:r>
    </w:p>
    <w:p w14:paraId="447F0616" w14:textId="77777777" w:rsidR="007D75A8" w:rsidRPr="00853FE4" w:rsidRDefault="007D75A8">
      <w:pPr>
        <w:pBdr>
          <w:top w:val="nil"/>
          <w:left w:val="nil"/>
          <w:bottom w:val="nil"/>
          <w:right w:val="nil"/>
          <w:between w:val="nil"/>
        </w:pBdr>
        <w:rPr>
          <w:color w:val="000000" w:themeColor="text1"/>
        </w:rPr>
      </w:pPr>
    </w:p>
    <w:p w14:paraId="58195255" w14:textId="77777777" w:rsidR="007D75A8" w:rsidRPr="00853FE4" w:rsidRDefault="00000000">
      <w:pPr>
        <w:rPr>
          <w:color w:val="000000" w:themeColor="text1"/>
        </w:rPr>
      </w:pPr>
      <w:r w:rsidRPr="00853FE4">
        <w:rPr>
          <w:color w:val="000000" w:themeColor="text1"/>
        </w:rPr>
        <w:t>In Model A, all EM-associated workloads reside within the Fishery Monitoring folder: the data product, the video ingestion pipeline (Cloud Run), the species identification ML service (Cloud Run with GPU), the observer reporting API (Cloud Run transactional endpoint), and the quota reconciliation dashboard. The Fishery Monitoring DPO governs the entire EM ecosystem from a single IAM context.</w:t>
      </w:r>
    </w:p>
    <w:p w14:paraId="5E7866A3" w14:textId="77777777" w:rsidR="007D75A8" w:rsidRPr="00853FE4" w:rsidRDefault="007D75A8">
      <w:pPr>
        <w:pBdr>
          <w:top w:val="nil"/>
          <w:left w:val="nil"/>
          <w:bottom w:val="nil"/>
          <w:right w:val="nil"/>
          <w:between w:val="nil"/>
        </w:pBdr>
        <w:rPr>
          <w:color w:val="000000" w:themeColor="text1"/>
        </w:rPr>
      </w:pPr>
    </w:p>
    <w:p w14:paraId="4C065A4C" w14:textId="77777777" w:rsidR="007D75A8" w:rsidRPr="00853FE4" w:rsidRDefault="00000000">
      <w:pPr>
        <w:rPr>
          <w:color w:val="000000" w:themeColor="text1"/>
        </w:rPr>
      </w:pPr>
      <w:r w:rsidRPr="00853FE4">
        <w:rPr>
          <w:color w:val="000000" w:themeColor="text1"/>
        </w:rPr>
        <w:t xml:space="preserve">In Model B, the EM data product lives in the Fishery Monitoring domain folder alongside other data products. The video ingestion pipeline and species identification ML service, because they are computationally intensive workloads requiring GPU access, live in Science Computing. The </w:t>
      </w:r>
      <w:r w:rsidRPr="00853FE4">
        <w:rPr>
          <w:color w:val="000000" w:themeColor="text1"/>
        </w:rPr>
        <w:lastRenderedPageBreak/>
        <w:t>observer reporting API and quota dashboard, because they are transactional applications, live in Applications. Each component is deployed in the organizational context that matches its operational characteristics, but the integration points between them must be explicitly managed through cross-folder IAM policies.</w:t>
      </w:r>
    </w:p>
    <w:p w14:paraId="2AC302B5" w14:textId="77777777" w:rsidR="007D75A8" w:rsidRPr="00853FE4" w:rsidRDefault="007D75A8">
      <w:pPr>
        <w:pBdr>
          <w:top w:val="nil"/>
          <w:left w:val="nil"/>
          <w:bottom w:val="nil"/>
          <w:right w:val="nil"/>
          <w:between w:val="nil"/>
        </w:pBdr>
        <w:rPr>
          <w:color w:val="000000" w:themeColor="text1"/>
        </w:rPr>
      </w:pPr>
    </w:p>
    <w:p w14:paraId="164B9F37" w14:textId="77777777" w:rsidR="007D75A8" w:rsidRPr="00853FE4" w:rsidRDefault="00000000">
      <w:pPr>
        <w:rPr>
          <w:color w:val="000000" w:themeColor="text1"/>
        </w:rPr>
      </w:pPr>
      <w:r w:rsidRPr="00853FE4">
        <w:rPr>
          <w:color w:val="000000" w:themeColor="text1"/>
        </w:rPr>
        <w:t>The same logical capabilities are delivered in both models: video is ingested, species are identified, trip reports are published as a data product, and quota is reconciled. The models differ only in where each component is organized and who is accountable for its operation. The architecture reference described in Sections 5.1 through 5.5 is valid under either model; the data product specification, platform template, and computational governance policies function identically. One design consideration applies regardless of model choice: the EM data product's lifecycle stages must respect the NARA destruction schedule (National Archives and Records Administration [NARA], 2020) for pre-processed files. Cloud Storage lifecycle policies that enforce the five-year retention and scheduled destruction must be configured identically in either model, and object retention locks must prevent premature deletion regardless of whether Cloud Storage buckets reside in a domain folder (Model A) or a dedicated storage project (Model B). The NARA disposition authority is a federal statutory requirement, not an architectural preference, and must be implemented consistently across both resource hierarchy models.</w:t>
      </w:r>
    </w:p>
    <w:p w14:paraId="6E27C311" w14:textId="77777777" w:rsidR="007D75A8" w:rsidRPr="00853FE4" w:rsidRDefault="00000000">
      <w:pPr>
        <w:pStyle w:val="Heading3"/>
        <w:rPr>
          <w:color w:val="000000" w:themeColor="text1"/>
        </w:rPr>
      </w:pPr>
      <w:bookmarkStart w:id="58" w:name="_p0wpcecw2gdd" w:colFirst="0" w:colLast="0"/>
      <w:bookmarkEnd w:id="58"/>
      <w:r w:rsidRPr="00853FE4">
        <w:rPr>
          <w:color w:val="000000" w:themeColor="text1"/>
        </w:rPr>
        <w:t>Decision Criteria</w:t>
      </w:r>
    </w:p>
    <w:p w14:paraId="067344F6" w14:textId="77777777" w:rsidR="007D75A8" w:rsidRPr="00853FE4" w:rsidRDefault="00000000">
      <w:pPr>
        <w:rPr>
          <w:color w:val="000000" w:themeColor="text1"/>
        </w:rPr>
      </w:pPr>
      <w:r w:rsidRPr="00853FE4">
        <w:rPr>
          <w:color w:val="000000" w:themeColor="text1"/>
        </w:rPr>
        <w:t>The decision criteria presented above guide model selection based on organizational context:</w:t>
      </w:r>
    </w:p>
    <w:p w14:paraId="0F29467F" w14:textId="77777777" w:rsidR="007D75A8" w:rsidRPr="00853FE4" w:rsidRDefault="007D75A8">
      <w:pPr>
        <w:pBdr>
          <w:top w:val="nil"/>
          <w:left w:val="nil"/>
          <w:bottom w:val="nil"/>
          <w:right w:val="nil"/>
          <w:between w:val="nil"/>
        </w:pBdr>
        <w:rPr>
          <w:color w:val="000000" w:themeColor="text1"/>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D75A8" w:rsidRPr="00853FE4" w14:paraId="748AED28" w14:textId="77777777">
        <w:trPr>
          <w:tblHeader/>
        </w:trPr>
        <w:tc>
          <w:tcPr>
            <w:tcW w:w="3120" w:type="dxa"/>
            <w:tcMar>
              <w:top w:w="100" w:type="dxa"/>
              <w:left w:w="100" w:type="dxa"/>
              <w:bottom w:w="100" w:type="dxa"/>
              <w:right w:w="100" w:type="dxa"/>
            </w:tcMar>
          </w:tcPr>
          <w:p w14:paraId="3D82214C" w14:textId="77777777" w:rsidR="007D75A8" w:rsidRPr="00853FE4" w:rsidRDefault="00000000">
            <w:pPr>
              <w:rPr>
                <w:b/>
                <w:bCs/>
                <w:color w:val="000000" w:themeColor="text1"/>
                <w:sz w:val="22"/>
                <w:szCs w:val="22"/>
              </w:rPr>
            </w:pPr>
            <w:r w:rsidRPr="00853FE4">
              <w:rPr>
                <w:b/>
                <w:bCs/>
                <w:color w:val="000000" w:themeColor="text1"/>
                <w:sz w:val="22"/>
                <w:szCs w:val="22"/>
              </w:rPr>
              <w:t>If...</w:t>
            </w:r>
          </w:p>
        </w:tc>
        <w:tc>
          <w:tcPr>
            <w:tcW w:w="3120" w:type="dxa"/>
            <w:tcMar>
              <w:top w:w="100" w:type="dxa"/>
              <w:left w:w="100" w:type="dxa"/>
              <w:bottom w:w="100" w:type="dxa"/>
              <w:right w:w="100" w:type="dxa"/>
            </w:tcMar>
          </w:tcPr>
          <w:p w14:paraId="44442C10" w14:textId="77777777" w:rsidR="007D75A8" w:rsidRPr="00853FE4" w:rsidRDefault="00000000">
            <w:pPr>
              <w:rPr>
                <w:b/>
                <w:bCs/>
                <w:color w:val="000000" w:themeColor="text1"/>
                <w:sz w:val="22"/>
                <w:szCs w:val="22"/>
              </w:rPr>
            </w:pPr>
            <w:r w:rsidRPr="00853FE4">
              <w:rPr>
                <w:b/>
                <w:bCs/>
                <w:color w:val="000000" w:themeColor="text1"/>
                <w:sz w:val="22"/>
                <w:szCs w:val="22"/>
              </w:rPr>
              <w:t>Lean Toward...</w:t>
            </w:r>
          </w:p>
        </w:tc>
        <w:tc>
          <w:tcPr>
            <w:tcW w:w="3120" w:type="dxa"/>
            <w:tcMar>
              <w:top w:w="100" w:type="dxa"/>
              <w:left w:w="100" w:type="dxa"/>
              <w:bottom w:w="100" w:type="dxa"/>
              <w:right w:w="100" w:type="dxa"/>
            </w:tcMar>
          </w:tcPr>
          <w:p w14:paraId="065B3849" w14:textId="77777777" w:rsidR="007D75A8" w:rsidRPr="00853FE4" w:rsidRDefault="00000000">
            <w:pPr>
              <w:rPr>
                <w:b/>
                <w:bCs/>
                <w:color w:val="000000" w:themeColor="text1"/>
                <w:sz w:val="22"/>
                <w:szCs w:val="22"/>
              </w:rPr>
            </w:pPr>
            <w:r w:rsidRPr="00853FE4">
              <w:rPr>
                <w:b/>
                <w:bCs/>
                <w:color w:val="000000" w:themeColor="text1"/>
                <w:sz w:val="22"/>
                <w:szCs w:val="22"/>
              </w:rPr>
              <w:t>Rationale</w:t>
            </w:r>
          </w:p>
        </w:tc>
      </w:tr>
      <w:tr w:rsidR="007D75A8" w:rsidRPr="00853FE4" w14:paraId="78290FD1" w14:textId="77777777">
        <w:tc>
          <w:tcPr>
            <w:tcW w:w="3120" w:type="dxa"/>
            <w:tcMar>
              <w:top w:w="100" w:type="dxa"/>
              <w:left w:w="100" w:type="dxa"/>
              <w:bottom w:w="100" w:type="dxa"/>
              <w:right w:w="100" w:type="dxa"/>
            </w:tcMar>
          </w:tcPr>
          <w:p w14:paraId="10B910EB" w14:textId="77777777" w:rsidR="007D75A8" w:rsidRPr="00853FE4" w:rsidRDefault="00000000">
            <w:pPr>
              <w:rPr>
                <w:color w:val="000000" w:themeColor="text1"/>
                <w:sz w:val="22"/>
                <w:szCs w:val="22"/>
              </w:rPr>
            </w:pPr>
            <w:r w:rsidRPr="00853FE4">
              <w:rPr>
                <w:color w:val="000000" w:themeColor="text1"/>
                <w:sz w:val="22"/>
                <w:szCs w:val="22"/>
              </w:rPr>
              <w:t>The organization has clearly defined data classifications and can scope access controls per workload within each domain</w:t>
            </w:r>
          </w:p>
        </w:tc>
        <w:tc>
          <w:tcPr>
            <w:tcW w:w="3120" w:type="dxa"/>
            <w:tcMar>
              <w:top w:w="100" w:type="dxa"/>
              <w:left w:w="100" w:type="dxa"/>
              <w:bottom w:w="100" w:type="dxa"/>
              <w:right w:w="100" w:type="dxa"/>
            </w:tcMar>
          </w:tcPr>
          <w:p w14:paraId="26CAC4BD" w14:textId="77777777" w:rsidR="007D75A8" w:rsidRPr="00853FE4" w:rsidRDefault="00000000">
            <w:pPr>
              <w:rPr>
                <w:color w:val="000000" w:themeColor="text1"/>
                <w:sz w:val="22"/>
                <w:szCs w:val="22"/>
              </w:rPr>
            </w:pPr>
            <w:r w:rsidRPr="00853FE4">
              <w:rPr>
                <w:color w:val="000000" w:themeColor="text1"/>
                <w:sz w:val="22"/>
                <w:szCs w:val="22"/>
              </w:rPr>
              <w:t>Domain-Coupled</w:t>
            </w:r>
          </w:p>
        </w:tc>
        <w:tc>
          <w:tcPr>
            <w:tcW w:w="3120" w:type="dxa"/>
            <w:tcMar>
              <w:top w:w="100" w:type="dxa"/>
              <w:left w:w="100" w:type="dxa"/>
              <w:bottom w:w="100" w:type="dxa"/>
              <w:right w:w="100" w:type="dxa"/>
            </w:tcMar>
          </w:tcPr>
          <w:p w14:paraId="4BEA576F" w14:textId="77777777" w:rsidR="007D75A8" w:rsidRPr="00853FE4" w:rsidRDefault="00000000">
            <w:pPr>
              <w:rPr>
                <w:color w:val="000000" w:themeColor="text1"/>
                <w:sz w:val="22"/>
                <w:szCs w:val="22"/>
              </w:rPr>
            </w:pPr>
            <w:r w:rsidRPr="00853FE4">
              <w:rPr>
                <w:color w:val="000000" w:themeColor="text1"/>
                <w:sz w:val="22"/>
                <w:szCs w:val="22"/>
              </w:rPr>
              <w:t>Classification awareness within the domain allows co-mingling without security risk, preserving unified ownership</w:t>
            </w:r>
          </w:p>
        </w:tc>
      </w:tr>
      <w:tr w:rsidR="007D75A8" w:rsidRPr="00853FE4" w14:paraId="22DFABD4" w14:textId="77777777">
        <w:tc>
          <w:tcPr>
            <w:tcW w:w="3120" w:type="dxa"/>
            <w:tcMar>
              <w:top w:w="100" w:type="dxa"/>
              <w:left w:w="100" w:type="dxa"/>
              <w:bottom w:w="100" w:type="dxa"/>
              <w:right w:w="100" w:type="dxa"/>
            </w:tcMar>
          </w:tcPr>
          <w:p w14:paraId="5A50C49A" w14:textId="77777777" w:rsidR="007D75A8" w:rsidRPr="00853FE4" w:rsidRDefault="00000000">
            <w:pPr>
              <w:rPr>
                <w:color w:val="000000" w:themeColor="text1"/>
                <w:sz w:val="22"/>
                <w:szCs w:val="22"/>
              </w:rPr>
            </w:pPr>
            <w:r w:rsidRPr="00853FE4">
              <w:rPr>
                <w:color w:val="000000" w:themeColor="text1"/>
                <w:sz w:val="22"/>
                <w:szCs w:val="22"/>
              </w:rPr>
              <w:t>Workloads within a domain share similar data sensitivity and access requirements</w:t>
            </w:r>
          </w:p>
        </w:tc>
        <w:tc>
          <w:tcPr>
            <w:tcW w:w="3120" w:type="dxa"/>
            <w:tcMar>
              <w:top w:w="100" w:type="dxa"/>
              <w:left w:w="100" w:type="dxa"/>
              <w:bottom w:w="100" w:type="dxa"/>
              <w:right w:w="100" w:type="dxa"/>
            </w:tcMar>
          </w:tcPr>
          <w:p w14:paraId="67933590" w14:textId="77777777" w:rsidR="007D75A8" w:rsidRPr="00853FE4" w:rsidRDefault="00000000">
            <w:pPr>
              <w:rPr>
                <w:color w:val="000000" w:themeColor="text1"/>
                <w:sz w:val="22"/>
                <w:szCs w:val="22"/>
              </w:rPr>
            </w:pPr>
            <w:r w:rsidRPr="00853FE4">
              <w:rPr>
                <w:color w:val="000000" w:themeColor="text1"/>
                <w:sz w:val="22"/>
                <w:szCs w:val="22"/>
              </w:rPr>
              <w:t>Domain-Coupled</w:t>
            </w:r>
          </w:p>
        </w:tc>
        <w:tc>
          <w:tcPr>
            <w:tcW w:w="3120" w:type="dxa"/>
            <w:tcMar>
              <w:top w:w="100" w:type="dxa"/>
              <w:left w:w="100" w:type="dxa"/>
              <w:bottom w:w="100" w:type="dxa"/>
              <w:right w:w="100" w:type="dxa"/>
            </w:tcMar>
          </w:tcPr>
          <w:p w14:paraId="157ACB8D" w14:textId="77777777" w:rsidR="007D75A8" w:rsidRPr="00853FE4" w:rsidRDefault="00000000">
            <w:pPr>
              <w:rPr>
                <w:color w:val="000000" w:themeColor="text1"/>
                <w:sz w:val="22"/>
                <w:szCs w:val="22"/>
              </w:rPr>
            </w:pPr>
            <w:r w:rsidRPr="00853FE4">
              <w:rPr>
                <w:color w:val="000000" w:themeColor="text1"/>
                <w:sz w:val="22"/>
                <w:szCs w:val="22"/>
              </w:rPr>
              <w:t>Uniform security posture eliminates the need for workload-type separation within the domain boundary</w:t>
            </w:r>
          </w:p>
        </w:tc>
      </w:tr>
      <w:tr w:rsidR="007D75A8" w:rsidRPr="00853FE4" w14:paraId="7B7AAD85" w14:textId="77777777">
        <w:tc>
          <w:tcPr>
            <w:tcW w:w="3120" w:type="dxa"/>
            <w:tcMar>
              <w:top w:w="100" w:type="dxa"/>
              <w:left w:w="100" w:type="dxa"/>
              <w:bottom w:w="100" w:type="dxa"/>
              <w:right w:w="100" w:type="dxa"/>
            </w:tcMar>
          </w:tcPr>
          <w:p w14:paraId="79CFA20E" w14:textId="77777777" w:rsidR="007D75A8" w:rsidRPr="00853FE4" w:rsidRDefault="00000000">
            <w:pPr>
              <w:rPr>
                <w:color w:val="000000" w:themeColor="text1"/>
                <w:sz w:val="22"/>
                <w:szCs w:val="22"/>
              </w:rPr>
            </w:pPr>
            <w:r w:rsidRPr="00853FE4">
              <w:rPr>
                <w:color w:val="000000" w:themeColor="text1"/>
                <w:sz w:val="22"/>
                <w:szCs w:val="22"/>
              </w:rPr>
              <w:t>Domain teams have operational maturity to manage all their workloads or are resourced to build it</w:t>
            </w:r>
          </w:p>
        </w:tc>
        <w:tc>
          <w:tcPr>
            <w:tcW w:w="3120" w:type="dxa"/>
            <w:tcMar>
              <w:top w:w="100" w:type="dxa"/>
              <w:left w:w="100" w:type="dxa"/>
              <w:bottom w:w="100" w:type="dxa"/>
              <w:right w:w="100" w:type="dxa"/>
            </w:tcMar>
          </w:tcPr>
          <w:p w14:paraId="2D88DC36" w14:textId="77777777" w:rsidR="007D75A8" w:rsidRPr="00853FE4" w:rsidRDefault="00000000">
            <w:pPr>
              <w:rPr>
                <w:color w:val="000000" w:themeColor="text1"/>
                <w:sz w:val="22"/>
                <w:szCs w:val="22"/>
              </w:rPr>
            </w:pPr>
            <w:r w:rsidRPr="00853FE4">
              <w:rPr>
                <w:color w:val="000000" w:themeColor="text1"/>
                <w:sz w:val="22"/>
                <w:szCs w:val="22"/>
              </w:rPr>
              <w:t>Domain-Coupled</w:t>
            </w:r>
          </w:p>
        </w:tc>
        <w:tc>
          <w:tcPr>
            <w:tcW w:w="3120" w:type="dxa"/>
            <w:tcMar>
              <w:top w:w="100" w:type="dxa"/>
              <w:left w:w="100" w:type="dxa"/>
              <w:bottom w:w="100" w:type="dxa"/>
              <w:right w:w="100" w:type="dxa"/>
            </w:tcMar>
          </w:tcPr>
          <w:p w14:paraId="7674D775" w14:textId="77777777" w:rsidR="007D75A8" w:rsidRPr="00853FE4" w:rsidRDefault="00000000">
            <w:pPr>
              <w:rPr>
                <w:color w:val="000000" w:themeColor="text1"/>
                <w:sz w:val="22"/>
                <w:szCs w:val="22"/>
              </w:rPr>
            </w:pPr>
            <w:r w:rsidRPr="00853FE4">
              <w:rPr>
                <w:color w:val="000000" w:themeColor="text1"/>
                <w:sz w:val="22"/>
                <w:szCs w:val="22"/>
              </w:rPr>
              <w:t>Mature domain teams can absorb operational responsibility for non-data workloads without platform dependency</w:t>
            </w:r>
          </w:p>
        </w:tc>
      </w:tr>
      <w:tr w:rsidR="007D75A8" w:rsidRPr="00853FE4" w14:paraId="630667B2" w14:textId="77777777">
        <w:tc>
          <w:tcPr>
            <w:tcW w:w="3120" w:type="dxa"/>
            <w:tcMar>
              <w:top w:w="100" w:type="dxa"/>
              <w:left w:w="100" w:type="dxa"/>
              <w:bottom w:w="100" w:type="dxa"/>
              <w:right w:w="100" w:type="dxa"/>
            </w:tcMar>
          </w:tcPr>
          <w:p w14:paraId="2C5FB77C" w14:textId="77777777" w:rsidR="007D75A8" w:rsidRPr="00853FE4" w:rsidRDefault="00000000">
            <w:pPr>
              <w:rPr>
                <w:color w:val="000000" w:themeColor="text1"/>
                <w:sz w:val="22"/>
                <w:szCs w:val="22"/>
              </w:rPr>
            </w:pPr>
            <w:r w:rsidRPr="00853FE4">
              <w:rPr>
                <w:color w:val="000000" w:themeColor="text1"/>
                <w:sz w:val="22"/>
                <w:szCs w:val="22"/>
              </w:rPr>
              <w:lastRenderedPageBreak/>
              <w:t>Data classification requirements differ markedly across workloads within a domain (e.g., confidential PII/BII alongside public data products)</w:t>
            </w:r>
          </w:p>
        </w:tc>
        <w:tc>
          <w:tcPr>
            <w:tcW w:w="3120" w:type="dxa"/>
            <w:tcMar>
              <w:top w:w="100" w:type="dxa"/>
              <w:left w:w="100" w:type="dxa"/>
              <w:bottom w:w="100" w:type="dxa"/>
              <w:right w:w="100" w:type="dxa"/>
            </w:tcMar>
          </w:tcPr>
          <w:p w14:paraId="6F0EE6BD" w14:textId="77777777" w:rsidR="007D75A8" w:rsidRPr="00853FE4" w:rsidRDefault="00000000">
            <w:pPr>
              <w:rPr>
                <w:color w:val="000000" w:themeColor="text1"/>
                <w:sz w:val="22"/>
                <w:szCs w:val="22"/>
              </w:rPr>
            </w:pPr>
            <w:r w:rsidRPr="00853FE4">
              <w:rPr>
                <w:color w:val="000000" w:themeColor="text1"/>
                <w:sz w:val="22"/>
                <w:szCs w:val="22"/>
              </w:rPr>
              <w:t>Domain-Separated</w:t>
            </w:r>
          </w:p>
        </w:tc>
        <w:tc>
          <w:tcPr>
            <w:tcW w:w="3120" w:type="dxa"/>
            <w:tcMar>
              <w:top w:w="100" w:type="dxa"/>
              <w:left w:w="100" w:type="dxa"/>
              <w:bottom w:w="100" w:type="dxa"/>
              <w:right w:w="100" w:type="dxa"/>
            </w:tcMar>
          </w:tcPr>
          <w:p w14:paraId="29B6C092" w14:textId="77777777" w:rsidR="007D75A8" w:rsidRPr="00853FE4" w:rsidRDefault="00000000">
            <w:pPr>
              <w:rPr>
                <w:color w:val="000000" w:themeColor="text1"/>
                <w:sz w:val="22"/>
                <w:szCs w:val="22"/>
              </w:rPr>
            </w:pPr>
            <w:r w:rsidRPr="00853FE4">
              <w:rPr>
                <w:color w:val="000000" w:themeColor="text1"/>
                <w:sz w:val="22"/>
                <w:szCs w:val="22"/>
              </w:rPr>
              <w:t>Differing sensitivity regimes require separate folder-level IAM and VPC Service Controls to avoid the least-common-denominator problem</w:t>
            </w:r>
          </w:p>
        </w:tc>
      </w:tr>
      <w:tr w:rsidR="007D75A8" w:rsidRPr="00853FE4" w14:paraId="57D7C8ED" w14:textId="77777777">
        <w:tc>
          <w:tcPr>
            <w:tcW w:w="3120" w:type="dxa"/>
            <w:tcMar>
              <w:top w:w="100" w:type="dxa"/>
              <w:left w:w="100" w:type="dxa"/>
              <w:bottom w:w="100" w:type="dxa"/>
              <w:right w:w="100" w:type="dxa"/>
            </w:tcMar>
          </w:tcPr>
          <w:p w14:paraId="07C4FC85" w14:textId="77777777" w:rsidR="007D75A8" w:rsidRPr="00853FE4" w:rsidRDefault="00000000">
            <w:pPr>
              <w:rPr>
                <w:color w:val="000000" w:themeColor="text1"/>
                <w:sz w:val="22"/>
                <w:szCs w:val="22"/>
              </w:rPr>
            </w:pPr>
            <w:r w:rsidRPr="00853FE4">
              <w:rPr>
                <w:color w:val="000000" w:themeColor="text1"/>
                <w:sz w:val="22"/>
                <w:szCs w:val="22"/>
              </w:rPr>
              <w:t>Cross-domain shared services are common and would distort domain ownership if forced into a single domain</w:t>
            </w:r>
          </w:p>
        </w:tc>
        <w:tc>
          <w:tcPr>
            <w:tcW w:w="3120" w:type="dxa"/>
            <w:tcMar>
              <w:top w:w="100" w:type="dxa"/>
              <w:left w:w="100" w:type="dxa"/>
              <w:bottom w:w="100" w:type="dxa"/>
              <w:right w:w="100" w:type="dxa"/>
            </w:tcMar>
          </w:tcPr>
          <w:p w14:paraId="2B184087" w14:textId="77777777" w:rsidR="007D75A8" w:rsidRPr="00853FE4" w:rsidRDefault="00000000">
            <w:pPr>
              <w:rPr>
                <w:color w:val="000000" w:themeColor="text1"/>
                <w:sz w:val="22"/>
                <w:szCs w:val="22"/>
              </w:rPr>
            </w:pPr>
            <w:r w:rsidRPr="00853FE4">
              <w:rPr>
                <w:color w:val="000000" w:themeColor="text1"/>
                <w:sz w:val="22"/>
                <w:szCs w:val="22"/>
              </w:rPr>
              <w:t>Domain-Separated</w:t>
            </w:r>
          </w:p>
        </w:tc>
        <w:tc>
          <w:tcPr>
            <w:tcW w:w="3120" w:type="dxa"/>
            <w:tcMar>
              <w:top w:w="100" w:type="dxa"/>
              <w:left w:w="100" w:type="dxa"/>
              <w:bottom w:w="100" w:type="dxa"/>
              <w:right w:w="100" w:type="dxa"/>
            </w:tcMar>
          </w:tcPr>
          <w:p w14:paraId="5C703616" w14:textId="77777777" w:rsidR="007D75A8" w:rsidRPr="00853FE4" w:rsidRDefault="00000000">
            <w:pPr>
              <w:rPr>
                <w:color w:val="000000" w:themeColor="text1"/>
                <w:sz w:val="22"/>
                <w:szCs w:val="22"/>
              </w:rPr>
            </w:pPr>
            <w:r w:rsidRPr="00853FE4">
              <w:rPr>
                <w:color w:val="000000" w:themeColor="text1"/>
                <w:sz w:val="22"/>
                <w:szCs w:val="22"/>
              </w:rPr>
              <w:t>Shared services placed in a single domain create ownership ambiguity and cross-domain access complexity</w:t>
            </w:r>
          </w:p>
        </w:tc>
      </w:tr>
      <w:tr w:rsidR="007D75A8" w:rsidRPr="00853FE4" w14:paraId="471F17AF" w14:textId="77777777">
        <w:tc>
          <w:tcPr>
            <w:tcW w:w="3120" w:type="dxa"/>
            <w:tcMar>
              <w:top w:w="100" w:type="dxa"/>
              <w:left w:w="100" w:type="dxa"/>
              <w:bottom w:w="100" w:type="dxa"/>
              <w:right w:w="100" w:type="dxa"/>
            </w:tcMar>
          </w:tcPr>
          <w:p w14:paraId="0C440B43" w14:textId="77777777" w:rsidR="007D75A8" w:rsidRPr="00853FE4" w:rsidRDefault="00000000">
            <w:pPr>
              <w:rPr>
                <w:color w:val="000000" w:themeColor="text1"/>
                <w:sz w:val="22"/>
                <w:szCs w:val="22"/>
              </w:rPr>
            </w:pPr>
            <w:r w:rsidRPr="00853FE4">
              <w:rPr>
                <w:color w:val="000000" w:themeColor="text1"/>
                <w:sz w:val="22"/>
                <w:szCs w:val="22"/>
              </w:rPr>
              <w:t>Operational expertise is specialized and distributed across different organizational units</w:t>
            </w:r>
          </w:p>
        </w:tc>
        <w:tc>
          <w:tcPr>
            <w:tcW w:w="3120" w:type="dxa"/>
            <w:tcMar>
              <w:top w:w="100" w:type="dxa"/>
              <w:left w:w="100" w:type="dxa"/>
              <w:bottom w:w="100" w:type="dxa"/>
              <w:right w:w="100" w:type="dxa"/>
            </w:tcMar>
          </w:tcPr>
          <w:p w14:paraId="2970B0AE" w14:textId="77777777" w:rsidR="007D75A8" w:rsidRPr="00853FE4" w:rsidRDefault="00000000">
            <w:pPr>
              <w:rPr>
                <w:color w:val="000000" w:themeColor="text1"/>
                <w:sz w:val="22"/>
                <w:szCs w:val="22"/>
              </w:rPr>
            </w:pPr>
            <w:r w:rsidRPr="00853FE4">
              <w:rPr>
                <w:color w:val="000000" w:themeColor="text1"/>
                <w:sz w:val="22"/>
                <w:szCs w:val="22"/>
              </w:rPr>
              <w:t>Domain-Separated</w:t>
            </w:r>
          </w:p>
        </w:tc>
        <w:tc>
          <w:tcPr>
            <w:tcW w:w="3120" w:type="dxa"/>
            <w:tcMar>
              <w:top w:w="100" w:type="dxa"/>
              <w:left w:w="100" w:type="dxa"/>
              <w:bottom w:w="100" w:type="dxa"/>
              <w:right w:w="100" w:type="dxa"/>
            </w:tcMar>
          </w:tcPr>
          <w:p w14:paraId="6336C48C" w14:textId="77777777" w:rsidR="007D75A8" w:rsidRPr="00853FE4" w:rsidRDefault="00000000">
            <w:pPr>
              <w:rPr>
                <w:color w:val="000000" w:themeColor="text1"/>
                <w:sz w:val="22"/>
                <w:szCs w:val="22"/>
              </w:rPr>
            </w:pPr>
            <w:r w:rsidRPr="00853FE4">
              <w:rPr>
                <w:color w:val="000000" w:themeColor="text1"/>
                <w:sz w:val="22"/>
                <w:szCs w:val="22"/>
              </w:rPr>
              <w:t>Platform, application, and science compute teams each operate within their expertise, avoiding role ambiguity</w:t>
            </w:r>
          </w:p>
        </w:tc>
      </w:tr>
      <w:tr w:rsidR="007D75A8" w:rsidRPr="00853FE4" w14:paraId="12B2AFA3" w14:textId="77777777">
        <w:tc>
          <w:tcPr>
            <w:tcW w:w="3120" w:type="dxa"/>
            <w:tcMar>
              <w:top w:w="100" w:type="dxa"/>
              <w:left w:w="100" w:type="dxa"/>
              <w:bottom w:w="100" w:type="dxa"/>
              <w:right w:w="100" w:type="dxa"/>
            </w:tcMar>
          </w:tcPr>
          <w:p w14:paraId="0EDC72D6" w14:textId="77777777" w:rsidR="007D75A8" w:rsidRPr="00853FE4" w:rsidRDefault="00000000">
            <w:pPr>
              <w:rPr>
                <w:color w:val="000000" w:themeColor="text1"/>
                <w:sz w:val="22"/>
                <w:szCs w:val="22"/>
              </w:rPr>
            </w:pPr>
            <w:r w:rsidRPr="00853FE4">
              <w:rPr>
                <w:color w:val="000000" w:themeColor="text1"/>
                <w:sz w:val="22"/>
                <w:szCs w:val="22"/>
              </w:rPr>
              <w:t>The organization anticipates growing HPC and AI/ML workloads requiring specialized infrastructure distinct from analytical data</w:t>
            </w:r>
          </w:p>
        </w:tc>
        <w:tc>
          <w:tcPr>
            <w:tcW w:w="3120" w:type="dxa"/>
            <w:tcMar>
              <w:top w:w="100" w:type="dxa"/>
              <w:left w:w="100" w:type="dxa"/>
              <w:bottom w:w="100" w:type="dxa"/>
              <w:right w:w="100" w:type="dxa"/>
            </w:tcMar>
          </w:tcPr>
          <w:p w14:paraId="3A2E428D" w14:textId="77777777" w:rsidR="007D75A8" w:rsidRPr="00853FE4" w:rsidRDefault="00000000">
            <w:pPr>
              <w:rPr>
                <w:color w:val="000000" w:themeColor="text1"/>
                <w:sz w:val="22"/>
                <w:szCs w:val="22"/>
              </w:rPr>
            </w:pPr>
            <w:r w:rsidRPr="00853FE4">
              <w:rPr>
                <w:color w:val="000000" w:themeColor="text1"/>
                <w:sz w:val="22"/>
                <w:szCs w:val="22"/>
              </w:rPr>
              <w:t>Domain-Separated</w:t>
            </w:r>
          </w:p>
        </w:tc>
        <w:tc>
          <w:tcPr>
            <w:tcW w:w="3120" w:type="dxa"/>
            <w:tcMar>
              <w:top w:w="100" w:type="dxa"/>
              <w:left w:w="100" w:type="dxa"/>
              <w:bottom w:w="100" w:type="dxa"/>
              <w:right w:w="100" w:type="dxa"/>
            </w:tcMar>
          </w:tcPr>
          <w:p w14:paraId="1BBBE7A7" w14:textId="77777777" w:rsidR="007D75A8" w:rsidRPr="00853FE4" w:rsidRDefault="00000000">
            <w:pPr>
              <w:rPr>
                <w:color w:val="000000" w:themeColor="text1"/>
                <w:sz w:val="22"/>
                <w:szCs w:val="22"/>
              </w:rPr>
            </w:pPr>
            <w:r w:rsidRPr="00853FE4">
              <w:rPr>
                <w:color w:val="000000" w:themeColor="text1"/>
                <w:sz w:val="22"/>
                <w:szCs w:val="22"/>
              </w:rPr>
              <w:t>Specialized infrastructure (GPU, TPU, batch scheduling) benefits from a dedicated folder with its own quota, lifecycle, and support model</w:t>
            </w:r>
          </w:p>
        </w:tc>
      </w:tr>
    </w:tbl>
    <w:p w14:paraId="6C08BC01" w14:textId="77777777" w:rsidR="007D75A8" w:rsidRPr="00853FE4" w:rsidRDefault="007D75A8">
      <w:pPr>
        <w:pBdr>
          <w:top w:val="nil"/>
          <w:left w:val="nil"/>
          <w:bottom w:val="nil"/>
          <w:right w:val="nil"/>
          <w:between w:val="nil"/>
        </w:pBdr>
        <w:rPr>
          <w:color w:val="000000" w:themeColor="text1"/>
        </w:rPr>
      </w:pPr>
    </w:p>
    <w:p w14:paraId="2621709F" w14:textId="77777777" w:rsidR="007D75A8" w:rsidRPr="00853FE4" w:rsidRDefault="00000000">
      <w:pPr>
        <w:rPr>
          <w:color w:val="000000" w:themeColor="text1"/>
        </w:rPr>
      </w:pPr>
      <w:r w:rsidRPr="00853FE4">
        <w:rPr>
          <w:b/>
          <w:bCs/>
          <w:color w:val="000000" w:themeColor="text1"/>
        </w:rPr>
        <w:t>Recommendation: Domain-Separated as the Preferred Model.</w:t>
      </w:r>
      <w:r w:rsidRPr="00853FE4">
        <w:rPr>
          <w:color w:val="000000" w:themeColor="text1"/>
        </w:rPr>
        <w:t xml:space="preserve"> For the NOAA Fisheries context, this reference architecture recommends the domain-separated model as the preferred approach. The organizational characteristics of NOAA Fisheries align most closely with the conditions that favor separation: data classification requirements differ markedly across workload types (confidential enforcement data alongside public-facing stock assessment products), cross-domain shared services such as vessel registry and species taxonomy are common, and operational expertise is distributed across specialized organizational units. Separation by workload type allows each category to be planned, funded, and prioritized independently, accommodating the distinct budget cycles, capacity constraints, and appropriation structures that apply to data infrastructure versus scientific computing versus HPC and AI/ML resources. This independence also creates the organizational conditions for specialized teams to emerge around specific technology domains, such as a dedicated HPC and AI/ML unit with the deep technical expertise needed to manage GPU clusters, batch schedulers, and distributed training infrastructure, expertise that would be diluted if scattered across individual domain teams.</w:t>
      </w:r>
    </w:p>
    <w:p w14:paraId="6BEA39C8" w14:textId="77777777" w:rsidR="007D75A8" w:rsidRPr="00853FE4" w:rsidRDefault="007D75A8">
      <w:pPr>
        <w:pBdr>
          <w:top w:val="nil"/>
          <w:left w:val="nil"/>
          <w:bottom w:val="nil"/>
          <w:right w:val="nil"/>
          <w:between w:val="nil"/>
        </w:pBdr>
        <w:rPr>
          <w:color w:val="000000" w:themeColor="text1"/>
        </w:rPr>
      </w:pPr>
    </w:p>
    <w:p w14:paraId="13B7AC70" w14:textId="77777777" w:rsidR="007D75A8" w:rsidRPr="00853FE4" w:rsidRDefault="00000000">
      <w:pPr>
        <w:rPr>
          <w:color w:val="000000" w:themeColor="text1"/>
        </w:rPr>
      </w:pPr>
      <w:r w:rsidRPr="00853FE4">
        <w:rPr>
          <w:color w:val="000000" w:themeColor="text1"/>
        </w:rPr>
        <w:t>For the domain-separated model to succeed in practice, several organizational conditions must be met. The platform team must be adequately resourced to manage IAM policies that span folder boundaries, as cross-folder access patterns are inherent to this model. Domain teams must accept that their scientific computing environments and applications will reside in folders managed by other organizational units, which requires trust in the platform team's service delivery and a clear service-level agreement governing cross-folder access. Each workload-specific team, whether the platform team, the application development unit, the scientific computing support function, or the HPC and AI/ML unit, must be adequately staffed and funded to meet the needs of all consuming domains, avoiding the creation of new bottlenecks. Finally, the Data Governance Council must take an active role in resolving cross-folder policy conflicts, as workload placement across folders introduces coordination requirements that do not arise in the simpler domain-coupled model.</w:t>
      </w:r>
    </w:p>
    <w:p w14:paraId="085F050E" w14:textId="77777777" w:rsidR="007D75A8" w:rsidRPr="00853FE4" w:rsidRDefault="007D75A8">
      <w:pPr>
        <w:pBdr>
          <w:top w:val="nil"/>
          <w:left w:val="nil"/>
          <w:bottom w:val="nil"/>
          <w:right w:val="nil"/>
          <w:between w:val="nil"/>
        </w:pBdr>
        <w:rPr>
          <w:color w:val="000000" w:themeColor="text1"/>
        </w:rPr>
      </w:pPr>
    </w:p>
    <w:p w14:paraId="40519EB0" w14:textId="77777777" w:rsidR="007D75A8" w:rsidRPr="00853FE4" w:rsidRDefault="00000000">
      <w:pPr>
        <w:rPr>
          <w:color w:val="000000" w:themeColor="text1"/>
        </w:rPr>
      </w:pPr>
      <w:r w:rsidRPr="00853FE4">
        <w:rPr>
          <w:color w:val="000000" w:themeColor="text1"/>
        </w:rPr>
        <w:t>Regardless of the chosen model, the platform team (Section 5.3) provides common infrastructure services, IAM, networking, logging, Security Command Center, Cloud Billing, across all folders and all workload types. The label-based cost attribution and chargeback mechanisms described in Section 5.3 for data products apply equally to all non-mesh workloads in either model: every resource provisioned in any folder is automatically tagged with its owner domain, workload type, cost center, and environment, enabling consistent FinOps practices across the entire cloud estate. The federated governance framework (Section 5.4) extends common NIST 800-53 controls across the entire cloud estate as well. The data mesh grows within whatever broader organizational structure the enterprise adopts, neither dependent on nor constrained by the placement of non-mesh workloads. The architecture described in this section is complete for NOAA Fisheries analytical data. The placement of the transactional systems, data integration pipelines, applications, scientific computing environments, and HPC workloads that surround it is a complementary architectural decision that this subsection frames with a clear recommendation for the domain-separated model.</w:t>
      </w:r>
    </w:p>
    <w:p w14:paraId="16418D0C" w14:textId="77777777" w:rsidR="007D75A8" w:rsidRPr="00853FE4" w:rsidRDefault="00000000">
      <w:pPr>
        <w:pStyle w:val="Heading1"/>
        <w:rPr>
          <w:color w:val="000000" w:themeColor="text1"/>
        </w:rPr>
      </w:pPr>
      <w:bookmarkStart w:id="59" w:name="_9a4lex2zjbb1" w:colFirst="0" w:colLast="0"/>
      <w:bookmarkEnd w:id="59"/>
      <w:r w:rsidRPr="00853FE4">
        <w:rPr>
          <w:color w:val="000000" w:themeColor="text1"/>
        </w:rPr>
        <w:t>6.0 Migration and Adoption Strategy</w:t>
      </w:r>
    </w:p>
    <w:p w14:paraId="6BCCC74B" w14:textId="77777777" w:rsidR="007D75A8" w:rsidRPr="00853FE4" w:rsidRDefault="00000000">
      <w:pPr>
        <w:rPr>
          <w:color w:val="000000" w:themeColor="text1"/>
        </w:rPr>
      </w:pPr>
      <w:r w:rsidRPr="00853FE4">
        <w:rPr>
          <w:color w:val="000000" w:themeColor="text1"/>
        </w:rPr>
        <w:t xml:space="preserve">This section proposes a comprehensive, evolutionary migration and adoption strategy to transition NOAA Fisheries from its current fragmented data ecosystem to a federated data mesh. Recognizing that data mesh is a profound sociotechnical transformation, this strategy avoids high-risk, centralized "big bang" modernization deployments in favor of incremental, value-first adoption. By establishing a logical order of operations and applying proven software engineering patterns, such as the Anti-Corruption Layer, the Strangler Fig, and the Parallel Run, this strategy </w:t>
      </w:r>
      <w:r w:rsidRPr="00853FE4">
        <w:rPr>
          <w:color w:val="000000" w:themeColor="text1"/>
        </w:rPr>
        <w:lastRenderedPageBreak/>
        <w:t>enables legacy systems and modernized data products to coexist seamlessly. This ensures operational continuity for mission-critical fisheries management activities while systematically building the necessary organizational capabilities, training frameworks, and communities of practice to sustain the modernized enterprise.</w:t>
      </w:r>
    </w:p>
    <w:p w14:paraId="2A068275" w14:textId="77777777" w:rsidR="007D75A8" w:rsidRPr="00853FE4" w:rsidRDefault="00000000">
      <w:pPr>
        <w:pStyle w:val="Heading2"/>
        <w:rPr>
          <w:color w:val="000000" w:themeColor="text1"/>
        </w:rPr>
      </w:pPr>
      <w:bookmarkStart w:id="60" w:name="_9lausm5rsy0u" w:colFirst="0" w:colLast="0"/>
      <w:bookmarkEnd w:id="60"/>
      <w:r w:rsidRPr="00853FE4">
        <w:rPr>
          <w:color w:val="000000" w:themeColor="text1"/>
        </w:rPr>
        <w:t>6.1 Guiding Principles</w:t>
      </w:r>
    </w:p>
    <w:p w14:paraId="56C77FDE" w14:textId="77777777" w:rsidR="007D75A8" w:rsidRPr="00853FE4" w:rsidRDefault="00000000">
      <w:pPr>
        <w:rPr>
          <w:color w:val="000000" w:themeColor="text1"/>
        </w:rPr>
      </w:pPr>
      <w:r w:rsidRPr="00853FE4">
        <w:rPr>
          <w:color w:val="000000" w:themeColor="text1"/>
        </w:rPr>
        <w:t>Transitioning NOAA Fisheries from a fragmented, legacy-encumbered data ecosystem to a federated data mesh is a profound sociotechnical transformation. Because the data mesh paradigm requires simultaneous shifts in technical architecture, organizational structure, and governance models, a sudden, comprehensive replacement of existing systems is neither feasible nor desirable. Instead, the migration strategy must be governed by four foundational principles designed to mitigate risk, demonstrate value, and respect the operational continuity required for fisheries management.</w:t>
      </w:r>
    </w:p>
    <w:p w14:paraId="3E815EC9" w14:textId="77777777" w:rsidR="007D75A8" w:rsidRPr="00853FE4" w:rsidRDefault="007D75A8">
      <w:pPr>
        <w:rPr>
          <w:color w:val="000000" w:themeColor="text1"/>
        </w:rPr>
      </w:pPr>
    </w:p>
    <w:p w14:paraId="041E1785" w14:textId="77777777" w:rsidR="007D75A8" w:rsidRPr="00853FE4" w:rsidRDefault="00000000">
      <w:pPr>
        <w:rPr>
          <w:color w:val="000000" w:themeColor="text1"/>
        </w:rPr>
      </w:pPr>
      <w:r w:rsidRPr="00853FE4">
        <w:rPr>
          <w:color w:val="000000" w:themeColor="text1"/>
        </w:rPr>
        <w:t xml:space="preserve">The logical sequence of migration phases, together with the parallel organizational readiness track, is depicted in </w:t>
      </w:r>
      <w:hyperlink w:anchor="_mmze8jx448fy">
        <w:r w:rsidRPr="00853FE4">
          <w:rPr>
            <w:color w:val="000000" w:themeColor="text1"/>
            <w:u w:val="single"/>
          </w:rPr>
          <w:t>Figure 13</w:t>
        </w:r>
      </w:hyperlink>
      <w:r w:rsidRPr="00853FE4">
        <w:rPr>
          <w:color w:val="000000" w:themeColor="text1"/>
        </w:rPr>
        <w:t>. The dependency structure makes explicit that organizational readiness workstreams (capability building, change management, governance council formation) must precede and enable each technical migration phase, reinforcing the architectural principle that data mesh adoption is primarily an organizational transformation.</w:t>
      </w:r>
    </w:p>
    <w:p w14:paraId="1178FC45" w14:textId="77777777" w:rsidR="007D75A8" w:rsidRPr="00853FE4" w:rsidRDefault="007D75A8">
      <w:pPr>
        <w:rPr>
          <w:color w:val="000000" w:themeColor="text1"/>
        </w:rPr>
      </w:pPr>
    </w:p>
    <w:p w14:paraId="6972AA52" w14:textId="77777777" w:rsidR="007D75A8" w:rsidRPr="00853FE4" w:rsidRDefault="00000000">
      <w:pPr>
        <w:rPr>
          <w:color w:val="000000" w:themeColor="text1"/>
        </w:rPr>
      </w:pPr>
      <w:r w:rsidRPr="00853FE4">
        <w:rPr>
          <w:color w:val="000000" w:themeColor="text1"/>
        </w:rPr>
        <w:t xml:space="preserve">First, the migration must be </w:t>
      </w:r>
      <w:r w:rsidRPr="00853FE4">
        <w:rPr>
          <w:i/>
          <w:iCs/>
          <w:color w:val="000000" w:themeColor="text1"/>
        </w:rPr>
        <w:t>evolutionary</w:t>
      </w:r>
      <w:r w:rsidRPr="00853FE4">
        <w:rPr>
          <w:color w:val="000000" w:themeColor="text1"/>
        </w:rPr>
        <w:t xml:space="preserve"> rather than </w:t>
      </w:r>
      <w:r w:rsidRPr="00853FE4">
        <w:rPr>
          <w:i/>
          <w:iCs/>
          <w:color w:val="000000" w:themeColor="text1"/>
        </w:rPr>
        <w:t>revolutionary</w:t>
      </w:r>
      <w:r w:rsidRPr="00853FE4">
        <w:rPr>
          <w:color w:val="000000" w:themeColor="text1"/>
        </w:rPr>
        <w:t>. Large-scale public sector information technology modernizations that rely on "big bang" deployments historically suffer from high failure rates and significant cost overruns (Beyer, 2024). An evolutionary approach breaks the transformation into manageable increments, allowing the organization to build capability, refine governance policies, and validate platform components before attempting widespread enterprise adoption. This approach ensures that mission-critical functions, such as real-time quota monitoring and annual stock assessments, are not disrupted during the transition.</w:t>
      </w:r>
    </w:p>
    <w:p w14:paraId="6EFD0206" w14:textId="77777777" w:rsidR="007D75A8" w:rsidRPr="00853FE4" w:rsidRDefault="007D75A8">
      <w:pPr>
        <w:pBdr>
          <w:top w:val="nil"/>
          <w:left w:val="nil"/>
          <w:bottom w:val="nil"/>
          <w:right w:val="nil"/>
          <w:between w:val="nil"/>
        </w:pBdr>
        <w:rPr>
          <w:color w:val="000000" w:themeColor="text1"/>
        </w:rPr>
      </w:pPr>
    </w:p>
    <w:p w14:paraId="7B439224" w14:textId="77777777" w:rsidR="007D75A8" w:rsidRPr="00853FE4" w:rsidRDefault="00000000">
      <w:pPr>
        <w:rPr>
          <w:color w:val="000000" w:themeColor="text1"/>
        </w:rPr>
      </w:pPr>
      <w:r w:rsidRPr="00853FE4">
        <w:rPr>
          <w:color w:val="000000" w:themeColor="text1"/>
        </w:rPr>
        <w:t>Second, the strategy must be value-first. Early investments in the self-serve platform and the initial data products must be justified by demonstrable value to the mission. By focusing on high-value, high-visibility use cases, such as the EM data product detailed in Section 5.2, the initiative can secure sustained executive sponsorship and build grassroots support among domain scientists. Delivering concrete improvements in data discoverability, quality, or query performance early in the process creates the organizational momentum necessary to sustain a multi-year transformation (Gafoor et al., 2022).</w:t>
      </w:r>
    </w:p>
    <w:p w14:paraId="6A4A79EB" w14:textId="77777777" w:rsidR="007D75A8" w:rsidRPr="00853FE4" w:rsidRDefault="007D75A8">
      <w:pPr>
        <w:pBdr>
          <w:top w:val="nil"/>
          <w:left w:val="nil"/>
          <w:bottom w:val="nil"/>
          <w:right w:val="nil"/>
          <w:between w:val="nil"/>
        </w:pBdr>
        <w:rPr>
          <w:color w:val="000000" w:themeColor="text1"/>
        </w:rPr>
      </w:pPr>
    </w:p>
    <w:p w14:paraId="46341C8A" w14:textId="77777777" w:rsidR="007D75A8" w:rsidRPr="00853FE4" w:rsidRDefault="00000000">
      <w:pPr>
        <w:rPr>
          <w:color w:val="000000" w:themeColor="text1"/>
        </w:rPr>
      </w:pPr>
      <w:r w:rsidRPr="00853FE4">
        <w:rPr>
          <w:color w:val="000000" w:themeColor="text1"/>
        </w:rPr>
        <w:lastRenderedPageBreak/>
        <w:t>Third, the strategy must embrace legacy coexistence. The existing regional databases, on-premises data centers, and monolithic applications represent decades of accumulated scientific knowledge and regulatory compliance mechanisms. These legacy systems cannot be replaced overnight. The migration must treat legacy systems as a reality to be gradually subsumed rather than immediately decommissioned. Data mesh adoption requires architectural patterns that allow new data products and legacy systems to operate simultaneously, sharing data securely while the modernization progresses incrementally (Cartwright et al., 2024).</w:t>
      </w:r>
    </w:p>
    <w:p w14:paraId="5837B0C0" w14:textId="77777777" w:rsidR="007D75A8" w:rsidRPr="00853FE4" w:rsidRDefault="007D75A8">
      <w:pPr>
        <w:pBdr>
          <w:top w:val="nil"/>
          <w:left w:val="nil"/>
          <w:bottom w:val="nil"/>
          <w:right w:val="nil"/>
          <w:between w:val="nil"/>
        </w:pBdr>
        <w:rPr>
          <w:color w:val="000000" w:themeColor="text1"/>
        </w:rPr>
      </w:pPr>
    </w:p>
    <w:p w14:paraId="6B848EB0" w14:textId="77777777" w:rsidR="007D75A8" w:rsidRPr="00853FE4" w:rsidRDefault="00000000">
      <w:pPr>
        <w:rPr>
          <w:color w:val="000000" w:themeColor="text1"/>
        </w:rPr>
      </w:pPr>
      <w:r w:rsidRPr="00853FE4">
        <w:rPr>
          <w:color w:val="000000" w:themeColor="text1"/>
        </w:rPr>
        <w:t>Finally, the organization must maintain a commitment to learning and adapting. Data mesh is an emerging architectural paradigm, and its application to the unique regulatory context of federal fisheries management will inevitably reveal unanticipated challenges. Initial deployments must be treated as learning opportunities. The platform templates, governance rules, and training programs must evolve continuously based on feedback from the initial DPOs and consumers. This feedback loop ensures that the architecture adapts to the actual needs of NOAA Fisheries rather than adhering rigidly to an initial theoretical design.</w:t>
      </w:r>
    </w:p>
    <w:p w14:paraId="5762E714" w14:textId="77777777" w:rsidR="007D75A8" w:rsidRPr="00853FE4" w:rsidRDefault="00000000">
      <w:pPr>
        <w:pStyle w:val="Heading2"/>
        <w:rPr>
          <w:color w:val="000000" w:themeColor="text1"/>
        </w:rPr>
      </w:pPr>
      <w:bookmarkStart w:id="61" w:name="_ugwhuqgatkag" w:colFirst="0" w:colLast="0"/>
      <w:bookmarkEnd w:id="61"/>
      <w:r w:rsidRPr="00853FE4">
        <w:rPr>
          <w:color w:val="000000" w:themeColor="text1"/>
        </w:rPr>
        <w:t>6.2 Architectural Patterns for Migration</w:t>
      </w:r>
    </w:p>
    <w:p w14:paraId="0847CEC0" w14:textId="77777777" w:rsidR="007D75A8" w:rsidRPr="00853FE4" w:rsidRDefault="00000000">
      <w:pPr>
        <w:rPr>
          <w:color w:val="000000" w:themeColor="text1"/>
        </w:rPr>
      </w:pPr>
      <w:r w:rsidRPr="00853FE4">
        <w:rPr>
          <w:color w:val="000000" w:themeColor="text1"/>
        </w:rPr>
        <w:t>Translating the guiding principles of evolutionary adoption and legacy coexistence into technical reality requires specific software engineering patterns. The migration to a data mesh cannot rely on "rip and replace" strategies. Instead, the architecture must systematically decouple consumers from legacy systems and redirect them to modernized data products without disrupting ongoing fisheries operations. Three established architectural patterns provide the mechanism for this transition: the Anti-Corruption Layer, the Strangler Fig pattern, and the Parallel Run.</w:t>
      </w:r>
    </w:p>
    <w:p w14:paraId="45D33F1E" w14:textId="77777777" w:rsidR="007D75A8" w:rsidRPr="00853FE4" w:rsidRDefault="00000000">
      <w:pPr>
        <w:pStyle w:val="Heading3"/>
        <w:rPr>
          <w:color w:val="000000" w:themeColor="text1"/>
        </w:rPr>
      </w:pPr>
      <w:bookmarkStart w:id="62" w:name="_4sqhl8w04z06" w:colFirst="0" w:colLast="0"/>
      <w:bookmarkEnd w:id="62"/>
      <w:r w:rsidRPr="00853FE4">
        <w:rPr>
          <w:color w:val="000000" w:themeColor="text1"/>
        </w:rPr>
        <w:t>The Anti-Corruption Layer</w:t>
      </w:r>
    </w:p>
    <w:p w14:paraId="5429318C" w14:textId="77777777" w:rsidR="007D75A8" w:rsidRPr="00853FE4" w:rsidRDefault="00000000">
      <w:pPr>
        <w:rPr>
          <w:color w:val="000000" w:themeColor="text1"/>
        </w:rPr>
      </w:pPr>
      <w:r w:rsidRPr="00853FE4">
        <w:rPr>
          <w:color w:val="000000" w:themeColor="text1"/>
        </w:rPr>
        <w:t>The first step in migrating a legacy data system is establishing a stable interface that isolates consumers from the underlying complexity of the legacy database. In domain-driven design, this interface is known as an Anti-Corruption Layer (Evans, 2003). An Anti-Corruption Layer is a translation mechanism that wraps a legacy system, exposing a modernized, standardized data product interface to consumers while interacting with the legacy schema on the backend.</w:t>
      </w:r>
    </w:p>
    <w:p w14:paraId="4B5EA4EC" w14:textId="77777777" w:rsidR="007D75A8" w:rsidRPr="00853FE4" w:rsidRDefault="007D75A8">
      <w:pPr>
        <w:pBdr>
          <w:top w:val="nil"/>
          <w:left w:val="nil"/>
          <w:bottom w:val="nil"/>
          <w:right w:val="nil"/>
          <w:between w:val="nil"/>
        </w:pBdr>
        <w:rPr>
          <w:color w:val="000000" w:themeColor="text1"/>
        </w:rPr>
      </w:pPr>
    </w:p>
    <w:p w14:paraId="08E9BC24" w14:textId="77777777" w:rsidR="007D75A8" w:rsidRPr="00853FE4" w:rsidRDefault="00000000">
      <w:pPr>
        <w:rPr>
          <w:color w:val="000000" w:themeColor="text1"/>
        </w:rPr>
      </w:pPr>
      <w:r w:rsidRPr="00853FE4">
        <w:rPr>
          <w:color w:val="000000" w:themeColor="text1"/>
        </w:rPr>
        <w:t xml:space="preserve">For NOAA Fisheries, this pattern is critical for integrating decades-old regional databases into the data mesh before those databases are fully modernized. For example, a legacy Oracle observer database maintained by a regional science center can be wrapped by an Anti-Corruption Layer deployed as a REST API on Cloud Run, a serverless compute platform that eliminates the operational overhead of managing virtual machines during the transitional period and allows the </w:t>
      </w:r>
      <w:r w:rsidRPr="00853FE4">
        <w:rPr>
          <w:color w:val="000000" w:themeColor="text1"/>
        </w:rPr>
        <w:lastRenderedPageBreak/>
        <w:t>API to scale to zero when idle while absorbing the query spikes that coincide with Council meeting cycles. The API exposes the standardized, domain-approved schema for observer data products (Perrin &amp; Broda, 2024). Downstream consumers, such as stock assessment models, interact exclusively with this clean, governed API, entirely unaware of the legacy complexity, denormalized tables, or outdated column names hidden beneath the translation layer. This enables the domain to publish a functional data product and establish a data contract immediately, decoupling the consumer's modernization timeline from the backend database's migration schedule.</w:t>
      </w:r>
    </w:p>
    <w:p w14:paraId="09E372B8" w14:textId="77777777" w:rsidR="007D75A8" w:rsidRPr="00853FE4" w:rsidRDefault="00000000">
      <w:pPr>
        <w:pStyle w:val="Heading3"/>
        <w:rPr>
          <w:color w:val="000000" w:themeColor="text1"/>
        </w:rPr>
      </w:pPr>
      <w:bookmarkStart w:id="63" w:name="_eqnngp56o99a" w:colFirst="0" w:colLast="0"/>
      <w:bookmarkEnd w:id="63"/>
      <w:r w:rsidRPr="00853FE4">
        <w:rPr>
          <w:color w:val="000000" w:themeColor="text1"/>
        </w:rPr>
        <w:t>The Strangler Fig Pattern</w:t>
      </w:r>
    </w:p>
    <w:p w14:paraId="75B4B4D0" w14:textId="77777777" w:rsidR="007D75A8" w:rsidRPr="00853FE4" w:rsidRDefault="00000000">
      <w:pPr>
        <w:rPr>
          <w:color w:val="000000" w:themeColor="text1"/>
        </w:rPr>
      </w:pPr>
      <w:r w:rsidRPr="00853FE4">
        <w:rPr>
          <w:color w:val="000000" w:themeColor="text1"/>
        </w:rPr>
        <w:t>Once an Anti-Corruption Layer is established, the organization can apply the Strangler Fig pattern to systematically replace the legacy system (Chandrasekaran, 2023; Cartwright et al., 2024). Named after the fig tree that gradually envelops and replaces a host tree, this pattern involves building new capabilities around the edges of a legacy system while slowly migrating existing functionality to the new architecture.</w:t>
      </w:r>
    </w:p>
    <w:p w14:paraId="308983B4" w14:textId="77777777" w:rsidR="007D75A8" w:rsidRPr="00853FE4" w:rsidRDefault="007D75A8">
      <w:pPr>
        <w:pBdr>
          <w:top w:val="nil"/>
          <w:left w:val="nil"/>
          <w:bottom w:val="nil"/>
          <w:right w:val="nil"/>
          <w:between w:val="nil"/>
        </w:pBdr>
        <w:rPr>
          <w:color w:val="000000" w:themeColor="text1"/>
        </w:rPr>
      </w:pPr>
    </w:p>
    <w:p w14:paraId="268E58B3" w14:textId="77777777" w:rsidR="007D75A8" w:rsidRPr="00853FE4" w:rsidRDefault="00000000">
      <w:pPr>
        <w:rPr>
          <w:color w:val="000000" w:themeColor="text1"/>
        </w:rPr>
      </w:pPr>
      <w:r w:rsidRPr="00853FE4">
        <w:rPr>
          <w:color w:val="000000" w:themeColor="text1"/>
        </w:rPr>
        <w:t>In a data mesh context, the Strangler Fig pattern is applied at the data product level rather than the application level. When a new data requirement arises, such as integrating electronic monitoring video data, the new functionality is built natively as a modern data product on the self-serve platform, rather than being bolted onto the legacy observer database. Over time, as legacy data tables are iteratively refactored into native cloud data products, the backend of the Anti-Corruption Layer is quietly redirected from the legacy Oracle database to the new BigQuery dataset. Because the consumers rely on the data contract rather than the underlying implementation, this redirection is entirely transparent to them. Eventually, as all functional components are migrated to native data products, the legacy system is effectively "strangled" and can be safely retired.</w:t>
      </w:r>
    </w:p>
    <w:p w14:paraId="3DED895E" w14:textId="77777777" w:rsidR="007D75A8" w:rsidRPr="00853FE4" w:rsidRDefault="00000000">
      <w:pPr>
        <w:pStyle w:val="Heading3"/>
        <w:rPr>
          <w:color w:val="000000" w:themeColor="text1"/>
        </w:rPr>
      </w:pPr>
      <w:bookmarkStart w:id="64" w:name="_4o61wqu9x5lm" w:colFirst="0" w:colLast="0"/>
      <w:bookmarkEnd w:id="64"/>
      <w:r w:rsidRPr="00853FE4">
        <w:rPr>
          <w:color w:val="000000" w:themeColor="text1"/>
        </w:rPr>
        <w:t>The Parallel Run Validation</w:t>
      </w:r>
    </w:p>
    <w:p w14:paraId="5CBBB9C8" w14:textId="77777777" w:rsidR="007D75A8" w:rsidRPr="00853FE4" w:rsidRDefault="00000000">
      <w:pPr>
        <w:rPr>
          <w:color w:val="000000" w:themeColor="text1"/>
        </w:rPr>
      </w:pPr>
      <w:r w:rsidRPr="00853FE4">
        <w:rPr>
          <w:color w:val="000000" w:themeColor="text1"/>
        </w:rPr>
        <w:t>Fisheries management relies on high-stakes data where errors can lead to incorrect catch limits, threatened fishery closures, or undetected overfishing. Consequently, the transition from a legacy data source to a modernized data product requires rigorous validation. The Parallel Run pattern mitigates this risk by executing both the legacy data pipeline and the new data product pipeline concurrently for a defined period (Cartwright et al., 2024).</w:t>
      </w:r>
    </w:p>
    <w:p w14:paraId="28D3174F" w14:textId="77777777" w:rsidR="007D75A8" w:rsidRPr="00853FE4" w:rsidRDefault="007D75A8">
      <w:pPr>
        <w:pBdr>
          <w:top w:val="nil"/>
          <w:left w:val="nil"/>
          <w:bottom w:val="nil"/>
          <w:right w:val="nil"/>
          <w:between w:val="nil"/>
        </w:pBdr>
        <w:rPr>
          <w:color w:val="000000" w:themeColor="text1"/>
        </w:rPr>
      </w:pPr>
    </w:p>
    <w:p w14:paraId="4531E985" w14:textId="77777777" w:rsidR="007D75A8" w:rsidRPr="00853FE4" w:rsidRDefault="00000000">
      <w:pPr>
        <w:rPr>
          <w:color w:val="000000" w:themeColor="text1"/>
        </w:rPr>
      </w:pPr>
      <w:r w:rsidRPr="00853FE4">
        <w:rPr>
          <w:color w:val="000000" w:themeColor="text1"/>
        </w:rPr>
        <w:t xml:space="preserve">During a Parallel Run, consumers continue to use the legacy system for operational decisions while simultaneously testing the new data product. The outputs of both systems are systematically compared to validate the correctness of the new implementation. For instance, </w:t>
      </w:r>
      <w:r w:rsidRPr="00853FE4">
        <w:rPr>
          <w:color w:val="000000" w:themeColor="text1"/>
        </w:rPr>
        <w:lastRenderedPageBreak/>
        <w:t>when migrating a catch accounting system, the regional office would run the legacy on-premises calculations alongside the new BigQuery-based data product for an entire fishing season. Only after the new data product demonstrates equivalence, or explicable improvements over the legacy baseline, is the legacy system decommissioned. This pattern builds critical stakeholder confidence in the new architecture.</w:t>
      </w:r>
    </w:p>
    <w:p w14:paraId="26D87985" w14:textId="77777777" w:rsidR="007D75A8" w:rsidRPr="00853FE4" w:rsidRDefault="00000000">
      <w:pPr>
        <w:pStyle w:val="Heading3"/>
        <w:rPr>
          <w:color w:val="000000" w:themeColor="text1"/>
        </w:rPr>
      </w:pPr>
      <w:bookmarkStart w:id="65" w:name="_wpz7ousksy0p" w:colFirst="0" w:colLast="0"/>
      <w:bookmarkEnd w:id="65"/>
      <w:r w:rsidRPr="00853FE4">
        <w:rPr>
          <w:color w:val="000000" w:themeColor="text1"/>
        </w:rPr>
        <w:t>Order of Operations: A Step-by-Step Example</w:t>
      </w:r>
    </w:p>
    <w:p w14:paraId="59BAB3DD" w14:textId="77777777" w:rsidR="007D75A8" w:rsidRPr="00853FE4" w:rsidRDefault="00000000">
      <w:pPr>
        <w:rPr>
          <w:color w:val="000000" w:themeColor="text1"/>
        </w:rPr>
      </w:pPr>
      <w:r w:rsidRPr="00853FE4">
        <w:rPr>
          <w:color w:val="000000" w:themeColor="text1"/>
        </w:rPr>
        <w:t>These three patterns are deeply interdependent and dictate a logical order of operations for migration. To illustrate how these patterns function together in practice, consider the migration of a legacy regional catch accounting system.</w:t>
      </w:r>
    </w:p>
    <w:p w14:paraId="6A93093D" w14:textId="77777777" w:rsidR="007D75A8" w:rsidRPr="00853FE4" w:rsidRDefault="007D75A8">
      <w:pPr>
        <w:pBdr>
          <w:top w:val="nil"/>
          <w:left w:val="nil"/>
          <w:bottom w:val="nil"/>
          <w:right w:val="nil"/>
          <w:between w:val="nil"/>
        </w:pBdr>
        <w:rPr>
          <w:color w:val="000000" w:themeColor="text1"/>
        </w:rPr>
      </w:pPr>
    </w:p>
    <w:p w14:paraId="25D64ED7" w14:textId="77777777" w:rsidR="007D75A8" w:rsidRPr="00853FE4" w:rsidRDefault="00000000">
      <w:pPr>
        <w:rPr>
          <w:color w:val="000000" w:themeColor="text1"/>
        </w:rPr>
      </w:pPr>
      <w:r w:rsidRPr="00853FE4">
        <w:rPr>
          <w:color w:val="000000" w:themeColor="text1"/>
        </w:rPr>
        <w:t>First, the platform team establishes the self-serve platform foundation, providing the paved road for domain onboarding. This ensures that the foundational security controls, billing labels, and infrastructure templates are ready for use.</w:t>
      </w:r>
    </w:p>
    <w:p w14:paraId="299B543D" w14:textId="77777777" w:rsidR="007D75A8" w:rsidRPr="00853FE4" w:rsidRDefault="007D75A8">
      <w:pPr>
        <w:pBdr>
          <w:top w:val="nil"/>
          <w:left w:val="nil"/>
          <w:bottom w:val="nil"/>
          <w:right w:val="nil"/>
          <w:between w:val="nil"/>
        </w:pBdr>
        <w:rPr>
          <w:color w:val="000000" w:themeColor="text1"/>
        </w:rPr>
      </w:pPr>
    </w:p>
    <w:p w14:paraId="46FB8299" w14:textId="77777777" w:rsidR="007D75A8" w:rsidRPr="00853FE4" w:rsidRDefault="00000000">
      <w:pPr>
        <w:rPr>
          <w:color w:val="000000" w:themeColor="text1"/>
        </w:rPr>
      </w:pPr>
      <w:r w:rsidRPr="00853FE4">
        <w:rPr>
          <w:color w:val="000000" w:themeColor="text1"/>
        </w:rPr>
        <w:t>Second, the domain team deploys an Anti-Corruption Layer to wrap the legacy Oracle catch accounting database. They create a modernized REST API hosted on Cloud Run, where serverless execution eliminates infrastructure management burden during the transitional phase, scaling to zero between query windows and absorbing the seasonal demand spikes characteristic of fishery-dependent data access patterns. The API exposes a standardized catch accounting data product. Downstream consumers, such as stock assessment scientists, update their models to query this new API. At this stage, the API simply translates requests and fetches data from the legacy Oracle database, but the consumers are now successfully decoupled from the legacy schema.</w:t>
      </w:r>
    </w:p>
    <w:p w14:paraId="39CE0AA3" w14:textId="77777777" w:rsidR="007D75A8" w:rsidRPr="00853FE4" w:rsidRDefault="007D75A8">
      <w:pPr>
        <w:pBdr>
          <w:top w:val="nil"/>
          <w:left w:val="nil"/>
          <w:bottom w:val="nil"/>
          <w:right w:val="nil"/>
          <w:between w:val="nil"/>
        </w:pBdr>
        <w:rPr>
          <w:color w:val="000000" w:themeColor="text1"/>
        </w:rPr>
      </w:pPr>
    </w:p>
    <w:p w14:paraId="307AEE00" w14:textId="77777777" w:rsidR="007D75A8" w:rsidRPr="00853FE4" w:rsidRDefault="00000000">
      <w:pPr>
        <w:rPr>
          <w:color w:val="000000" w:themeColor="text1"/>
        </w:rPr>
      </w:pPr>
      <w:r w:rsidRPr="00853FE4">
        <w:rPr>
          <w:color w:val="000000" w:themeColor="text1"/>
        </w:rPr>
        <w:t>Third, the domain applies the Strangler Fig pattern. As new requirements arise, such as integrating modern electronic monitoring data, the domain team builds this new functionality natively in BigQuery rather than modifying the legacy Oracle system. The domain team iteratively replicates the legacy tables into BigQuery. Behind the scenes, the Anti-Corruption Layer begins routing requests for electronic monitoring data to BigQuery, while requests for historical catch data still route to Oracle. Over time, more functionality is migrated to BigQuery, slowly strangling the legacy database.</w:t>
      </w:r>
    </w:p>
    <w:p w14:paraId="77094738" w14:textId="77777777" w:rsidR="007D75A8" w:rsidRPr="00853FE4" w:rsidRDefault="007D75A8">
      <w:pPr>
        <w:pBdr>
          <w:top w:val="nil"/>
          <w:left w:val="nil"/>
          <w:bottom w:val="nil"/>
          <w:right w:val="nil"/>
          <w:between w:val="nil"/>
        </w:pBdr>
        <w:rPr>
          <w:color w:val="000000" w:themeColor="text1"/>
        </w:rPr>
      </w:pPr>
    </w:p>
    <w:p w14:paraId="39FE2BA7" w14:textId="77777777" w:rsidR="007D75A8" w:rsidRPr="00853FE4" w:rsidRDefault="00000000">
      <w:pPr>
        <w:rPr>
          <w:color w:val="000000" w:themeColor="text1"/>
        </w:rPr>
      </w:pPr>
      <w:r w:rsidRPr="00853FE4">
        <w:rPr>
          <w:color w:val="000000" w:themeColor="text1"/>
        </w:rPr>
        <w:t>Fourth, the domain initiates a Parallel Run. For an entire fishing season, the regional office calculates fishery quotas using both the legacy Oracle system and the new BigQuery data product. Stakeholders compare the outputs weekly to validate that the new system accurately applies complex regulatory logic.</w:t>
      </w:r>
    </w:p>
    <w:p w14:paraId="66DD6654" w14:textId="77777777" w:rsidR="007D75A8" w:rsidRPr="00853FE4" w:rsidRDefault="007D75A8">
      <w:pPr>
        <w:pBdr>
          <w:top w:val="nil"/>
          <w:left w:val="nil"/>
          <w:bottom w:val="nil"/>
          <w:right w:val="nil"/>
          <w:between w:val="nil"/>
        </w:pBdr>
        <w:rPr>
          <w:color w:val="000000" w:themeColor="text1"/>
        </w:rPr>
      </w:pPr>
    </w:p>
    <w:p w14:paraId="56AB9B5A" w14:textId="77777777" w:rsidR="007D75A8" w:rsidRPr="00853FE4" w:rsidRDefault="00000000">
      <w:pPr>
        <w:rPr>
          <w:color w:val="000000" w:themeColor="text1"/>
        </w:rPr>
      </w:pPr>
      <w:r w:rsidRPr="00853FE4">
        <w:rPr>
          <w:color w:val="000000" w:themeColor="text1"/>
        </w:rPr>
        <w:t xml:space="preserve">Finally, once the Parallel Run demonstrates equivalence and builds stakeholder trust, the Anti-Corruption Layer is permanently redirected to serve all requests from BigQuery, and the legacy Oracle database is decommissioned. Importantly, this strategy avoids arbitrary timelines. The velocity of adoption depends on the specific organizational context, the complexity of the legacy debt, and the available engineering capacity within each domain. The five-step migration sequence is shown in </w:t>
      </w:r>
      <w:hyperlink w:anchor="_x70a823l76wa">
        <w:r w:rsidRPr="00853FE4">
          <w:rPr>
            <w:color w:val="000000" w:themeColor="text1"/>
            <w:u w:val="single"/>
          </w:rPr>
          <w:t>Figure 14</w:t>
        </w:r>
      </w:hyperlink>
      <w:r w:rsidRPr="00853FE4">
        <w:rPr>
          <w:color w:val="000000" w:themeColor="text1"/>
        </w:rPr>
        <w:t>. While Figure 14 shows the migration from the system operator's perspective, it is equally important to understand the migration from the consumer's point of view. Figure 15 presents a three-panel companion diagram showing the consumer's experience of a data request before, during, and after migration: the Anti-Corruption Layer provides a stable interface throughout, while the backend evolves from Oracle to BigQuery without disrupting consumers.</w:t>
      </w:r>
    </w:p>
    <w:p w14:paraId="1073A8AF" w14:textId="77777777" w:rsidR="007D75A8" w:rsidRPr="00853FE4" w:rsidRDefault="00000000">
      <w:pPr>
        <w:pStyle w:val="Heading2"/>
        <w:rPr>
          <w:color w:val="000000" w:themeColor="text1"/>
        </w:rPr>
      </w:pPr>
      <w:bookmarkStart w:id="66" w:name="_o0xhps6btls2" w:colFirst="0" w:colLast="0"/>
      <w:bookmarkEnd w:id="66"/>
      <w:r w:rsidRPr="00853FE4">
        <w:rPr>
          <w:color w:val="000000" w:themeColor="text1"/>
        </w:rPr>
        <w:t>6.3 Organizational Change Management</w:t>
      </w:r>
    </w:p>
    <w:p w14:paraId="401B0503" w14:textId="77777777" w:rsidR="007D75A8" w:rsidRPr="00853FE4" w:rsidRDefault="00000000">
      <w:pPr>
        <w:rPr>
          <w:color w:val="000000" w:themeColor="text1"/>
        </w:rPr>
      </w:pPr>
      <w:r w:rsidRPr="00853FE4">
        <w:rPr>
          <w:color w:val="000000" w:themeColor="text1"/>
        </w:rPr>
        <w:t>Implementing a data mesh is fundamentally an organizational transformation rather than a purely technical deployment. While the architectural patterns described in Section 6.2 provide the technical mechanism for migration, the shift to decentralized domain ownership fundamentally alters established power structures, responsibilities, and daily workflows. Consequently, organizational change management must be treated as a core capability rather than an afterthought.</w:t>
      </w:r>
    </w:p>
    <w:p w14:paraId="679C09D9" w14:textId="77777777" w:rsidR="007D75A8" w:rsidRPr="00853FE4" w:rsidRDefault="007D75A8">
      <w:pPr>
        <w:pBdr>
          <w:top w:val="nil"/>
          <w:left w:val="nil"/>
          <w:bottom w:val="nil"/>
          <w:right w:val="nil"/>
          <w:between w:val="nil"/>
        </w:pBdr>
        <w:rPr>
          <w:color w:val="000000" w:themeColor="text1"/>
        </w:rPr>
      </w:pPr>
    </w:p>
    <w:p w14:paraId="6832A7CA" w14:textId="77777777" w:rsidR="007D75A8" w:rsidRPr="00853FE4" w:rsidRDefault="00000000">
      <w:pPr>
        <w:rPr>
          <w:color w:val="000000" w:themeColor="text1"/>
        </w:rPr>
      </w:pPr>
      <w:r w:rsidRPr="00853FE4">
        <w:rPr>
          <w:color w:val="000000" w:themeColor="text1"/>
        </w:rPr>
        <w:t>A successful transition requires sustained attention across four key change management dimensions. First, executive sponsorship is critical. Visible, consistent commitment from NOAA Fisheries leadership, including the Assistant Administrator’s office, Regional Administrators, and Science Center Directors, is necessary to authorize the shift in responsibilities and secure required resources. Second, stakeholder engagement must involve domain scientists, regional information technology staff, and program managers early in the design process to ensure the platform meets actual operational needs. Third, training and capability building must prepare personnel for new roles, such as the Data Product Owner, ensuring that domain teams have the requisite skills to succeed. Finally, communication strategies must provide transparent progress updates and celebrate early wins to build and sustain organizational momentum (Gafoor et al., 2022).</w:t>
      </w:r>
    </w:p>
    <w:p w14:paraId="7A5BE80A" w14:textId="77777777" w:rsidR="007D75A8" w:rsidRPr="00853FE4" w:rsidRDefault="007D75A8">
      <w:pPr>
        <w:pBdr>
          <w:top w:val="nil"/>
          <w:left w:val="nil"/>
          <w:bottom w:val="nil"/>
          <w:right w:val="nil"/>
          <w:between w:val="nil"/>
        </w:pBdr>
        <w:rPr>
          <w:color w:val="000000" w:themeColor="text1"/>
        </w:rPr>
      </w:pPr>
    </w:p>
    <w:p w14:paraId="32E1CAE9" w14:textId="77777777" w:rsidR="007D75A8" w:rsidRPr="00853FE4" w:rsidRDefault="00000000">
      <w:pPr>
        <w:rPr>
          <w:color w:val="000000" w:themeColor="text1"/>
        </w:rPr>
      </w:pPr>
      <w:r w:rsidRPr="00853FE4">
        <w:rPr>
          <w:color w:val="000000" w:themeColor="text1"/>
        </w:rPr>
        <w:t xml:space="preserve">As the organization navigates this transition, leadership must proactively address common patterns of cultural resistance. Centralized data teams may express concerns regarding a loss of control over enterprise data assets. This resistance can be mitigated by reframing the central role from a data gatekeeper to a high-leverage platform engineering team that enables enterprise scale </w:t>
      </w:r>
      <w:r w:rsidRPr="00853FE4">
        <w:rPr>
          <w:color w:val="000000" w:themeColor="text1"/>
        </w:rPr>
        <w:lastRenderedPageBreak/>
        <w:t>(Perrin &amp; Broda, 2024). Conversely, domain teams may resist the transition due to concerns about increased workloads, fearing that they will be burdened with infrastructure tasks in addition to their scientific duties. The mitigation for this concern is the self-serve platform itself, which must automate infrastructure provisioning and compliance reporting to such a degree that domain teams can focus exclusively on data quality and scientific value. Finally, organizations often harbor skepticism stemming from prior, unsuccessful modernization efforts. By adhering to the evolutionary, value-first principles outlined in Section 6.1, and by demonstrating tangible successes through targeted pilots before mandating widespread adoption, the organization can overcome historical skepticism and build trust in the new paradigm.</w:t>
      </w:r>
    </w:p>
    <w:p w14:paraId="1B32091D" w14:textId="77777777" w:rsidR="007D75A8" w:rsidRPr="00853FE4" w:rsidRDefault="00000000">
      <w:pPr>
        <w:pStyle w:val="Heading2"/>
        <w:rPr>
          <w:color w:val="000000" w:themeColor="text1"/>
        </w:rPr>
      </w:pPr>
      <w:bookmarkStart w:id="67" w:name="_c122wytyr1f2" w:colFirst="0" w:colLast="0"/>
      <w:bookmarkEnd w:id="67"/>
      <w:r w:rsidRPr="00853FE4">
        <w:rPr>
          <w:color w:val="000000" w:themeColor="text1"/>
        </w:rPr>
        <w:t>6.4 Capability Building</w:t>
      </w:r>
    </w:p>
    <w:p w14:paraId="6994676A" w14:textId="77777777" w:rsidR="007D75A8" w:rsidRPr="00853FE4" w:rsidRDefault="00000000">
      <w:pPr>
        <w:rPr>
          <w:color w:val="000000" w:themeColor="text1"/>
        </w:rPr>
      </w:pPr>
      <w:r w:rsidRPr="00853FE4">
        <w:rPr>
          <w:color w:val="000000" w:themeColor="text1"/>
        </w:rPr>
        <w:t>The transition to a data mesh architecture requires significant shifts in workforce capabilities. The decentralized model relies on domains possessing the technical proficiency to manage their own data products, which represents a departure from traditional models where data engineering was isolated within a centralized information technology department. Capability building must be approached as a strategic investment, focusing on acquiring new skills, restructuring teams, and fostering continuous learning.</w:t>
      </w:r>
    </w:p>
    <w:p w14:paraId="7D502B17" w14:textId="77777777" w:rsidR="007D75A8" w:rsidRPr="00853FE4" w:rsidRDefault="00000000">
      <w:pPr>
        <w:pStyle w:val="Heading3"/>
        <w:rPr>
          <w:color w:val="000000" w:themeColor="text1"/>
        </w:rPr>
      </w:pPr>
      <w:bookmarkStart w:id="68" w:name="_i9w5wppvz0dy" w:colFirst="0" w:colLast="0"/>
      <w:bookmarkEnd w:id="68"/>
      <w:r w:rsidRPr="00853FE4">
        <w:rPr>
          <w:color w:val="000000" w:themeColor="text1"/>
        </w:rPr>
        <w:t>Skill Requirements and Embedded Engineering</w:t>
      </w:r>
    </w:p>
    <w:p w14:paraId="07920C8B" w14:textId="77777777" w:rsidR="007D75A8" w:rsidRPr="00853FE4" w:rsidRDefault="00000000">
      <w:pPr>
        <w:rPr>
          <w:color w:val="000000" w:themeColor="text1"/>
        </w:rPr>
      </w:pPr>
      <w:r w:rsidRPr="00853FE4">
        <w:rPr>
          <w:color w:val="000000" w:themeColor="text1"/>
        </w:rPr>
        <w:t>Data mesh implementation requires four distinct skill profiles. Deshpande and Nanda (2023) identify five essential data engineering concepts (data modeling, data pipelines, data quality, data governance, and data operations) that form the foundational competency for any data-intensive program. These concepts, when operationalized through the platform services described in Section 5.3, define the skill set that embedded data engineers must bring to domain teams. First, platform engineering skills are required to build and maintain the self-serve infrastructure, demanding deep expertise in cloud architecture, infrastructure as code, and site reliability engineering. Second, data engineering skills must be distributed across the domains to build data pipelines, optimize queries, and manage data quality. Third, data product management skills are necessary for Data Product Owners to negotiate contracts, gather consumer requirements, and prioritize features. Finally, data governance skills must evolve from manual compliance checking to policy automation and computational rule definition.</w:t>
      </w:r>
    </w:p>
    <w:p w14:paraId="08F7D54A" w14:textId="77777777" w:rsidR="007D75A8" w:rsidRPr="00853FE4" w:rsidRDefault="007D75A8">
      <w:pPr>
        <w:pBdr>
          <w:top w:val="nil"/>
          <w:left w:val="nil"/>
          <w:bottom w:val="nil"/>
          <w:right w:val="nil"/>
          <w:between w:val="nil"/>
        </w:pBdr>
        <w:rPr>
          <w:color w:val="000000" w:themeColor="text1"/>
        </w:rPr>
      </w:pPr>
    </w:p>
    <w:p w14:paraId="26BE327B" w14:textId="77777777" w:rsidR="007D75A8" w:rsidRPr="00853FE4" w:rsidRDefault="00000000">
      <w:pPr>
        <w:rPr>
          <w:color w:val="000000" w:themeColor="text1"/>
        </w:rPr>
      </w:pPr>
      <w:r w:rsidRPr="00853FE4">
        <w:rPr>
          <w:color w:val="000000" w:themeColor="text1"/>
        </w:rPr>
        <w:t xml:space="preserve">To address the gap in domain-level technical capability, NOAA Fisheries must embed data engineers directly into the scientific and operational domain teams. Rather than forcing fishery biologists to become software developers, domains should be structured as cross-functional teams. A stock assessment domain team, for example, might include three population </w:t>
      </w:r>
      <w:r w:rsidRPr="00853FE4">
        <w:rPr>
          <w:color w:val="000000" w:themeColor="text1"/>
        </w:rPr>
        <w:lastRenderedPageBreak/>
        <w:t>dynamicists, a domain data manager, and an embedded data engineer. The data engineer handles the technical complexities of BigQuery optimization and Dataplex rule configuration, allowing the scientists to focus on the biological validity of the data.</w:t>
      </w:r>
    </w:p>
    <w:p w14:paraId="69A34DCE" w14:textId="77777777" w:rsidR="007D75A8" w:rsidRPr="00853FE4" w:rsidRDefault="00000000">
      <w:pPr>
        <w:pStyle w:val="Heading3"/>
        <w:rPr>
          <w:color w:val="000000" w:themeColor="text1"/>
        </w:rPr>
      </w:pPr>
      <w:bookmarkStart w:id="69" w:name="_djggho138ntx" w:colFirst="0" w:colLast="0"/>
      <w:bookmarkEnd w:id="69"/>
      <w:r w:rsidRPr="00853FE4">
        <w:rPr>
          <w:color w:val="000000" w:themeColor="text1"/>
        </w:rPr>
        <w:t>Training and Communities of Practice</w:t>
      </w:r>
    </w:p>
    <w:p w14:paraId="38ECCFB9" w14:textId="77777777" w:rsidR="007D75A8" w:rsidRPr="00853FE4" w:rsidRDefault="00000000">
      <w:pPr>
        <w:rPr>
          <w:color w:val="000000" w:themeColor="text1"/>
        </w:rPr>
      </w:pPr>
      <w:r w:rsidRPr="00853FE4">
        <w:rPr>
          <w:color w:val="000000" w:themeColor="text1"/>
        </w:rPr>
        <w:t>Capability building cannot rely solely on external hiring, especially given the constraints of the federal hiring process. The organization must establish comprehensive training programs to upskill the existing workforce. This training should cover data mesh fundamentals, practical usage of Google Cloud Platform services, and the operational responsibilities of data product ownership.</w:t>
      </w:r>
    </w:p>
    <w:p w14:paraId="6FE9B7A8" w14:textId="77777777" w:rsidR="007D75A8" w:rsidRPr="00853FE4" w:rsidRDefault="007D75A8">
      <w:pPr>
        <w:pBdr>
          <w:top w:val="nil"/>
          <w:left w:val="nil"/>
          <w:bottom w:val="nil"/>
          <w:right w:val="nil"/>
          <w:between w:val="nil"/>
        </w:pBdr>
        <w:rPr>
          <w:color w:val="000000" w:themeColor="text1"/>
        </w:rPr>
      </w:pPr>
    </w:p>
    <w:p w14:paraId="7437A4DC" w14:textId="77777777" w:rsidR="007D75A8" w:rsidRPr="00853FE4" w:rsidRDefault="00000000">
      <w:pPr>
        <w:rPr>
          <w:color w:val="000000" w:themeColor="text1"/>
        </w:rPr>
      </w:pPr>
      <w:r w:rsidRPr="00853FE4">
        <w:rPr>
          <w:color w:val="000000" w:themeColor="text1"/>
        </w:rPr>
        <w:t>Furthermore, to prevent domains from developing isolated practices, the organization must establish formal communities of practice. A Data Product Owner community provides a regular forum where domain representatives share successful implementation patterns, discuss governance challenges, and demonstrate new data products. Similarly, a platform user group creates a feedback mechanism connecting domain engineers with the central platform team. These communities facilitate organic knowledge transfer, ensuring that hard-won lessons from early pilot projects, such as the Electronic Monitoring transition, are disseminated rapidly across the enterprise.</w:t>
      </w:r>
    </w:p>
    <w:p w14:paraId="15BC7D4B" w14:textId="77777777" w:rsidR="007D75A8" w:rsidRPr="00853FE4" w:rsidRDefault="00000000">
      <w:pPr>
        <w:pStyle w:val="Heading1"/>
        <w:rPr>
          <w:color w:val="000000" w:themeColor="text1"/>
        </w:rPr>
      </w:pPr>
      <w:bookmarkStart w:id="70" w:name="_tpolhcbxfldp" w:colFirst="0" w:colLast="0"/>
      <w:bookmarkEnd w:id="70"/>
      <w:r w:rsidRPr="00853FE4">
        <w:rPr>
          <w:color w:val="000000" w:themeColor="text1"/>
        </w:rPr>
        <w:t>7.0 Tradeoffs, Risks, and Discussion</w:t>
      </w:r>
    </w:p>
    <w:p w14:paraId="7B1F52FA" w14:textId="77777777" w:rsidR="007D75A8" w:rsidRPr="00853FE4" w:rsidRDefault="00000000">
      <w:pPr>
        <w:rPr>
          <w:color w:val="000000" w:themeColor="text1"/>
        </w:rPr>
      </w:pPr>
      <w:r w:rsidRPr="00853FE4">
        <w:rPr>
          <w:color w:val="000000" w:themeColor="text1"/>
        </w:rPr>
        <w:t>A reference architecture, no matter how carefully designed, cannot be deployed free of tradeoffs, risks, or unintended consequences. A data mesh is not a simple technical upgrade; it is a profound sociotechnical intervention that redistributes authority, alters funding incentives, and introduces new failure modes even as it resolves old ones. This section provides a balanced, evidence-based assessment of the most significant tradeoffs and risks inherent in the proposed architecture for NOAA Fisheries. By concerning organizational disruption, platform cost dynamics, governance complexity, legacy integration burdens, and the persistent risk of fragmentation, this section aims to equip decision-makers with a realistic picture of what data mesh adoption demands. Each subsection identifies the core tradeoff or risk, grounds it in the relevant literature and in the EM case study, and proposes mitigation strategies drawn from the architectural patterns and organizational frameworks developed in Sections 5 and 6. The section concludes by elevating change management, not as a supporting activity, but as the single highest-risk dimension of the entire undertaking.</w:t>
      </w:r>
    </w:p>
    <w:p w14:paraId="7BBF2B84" w14:textId="77777777" w:rsidR="007D75A8" w:rsidRPr="00853FE4" w:rsidRDefault="00000000">
      <w:pPr>
        <w:pStyle w:val="Heading2"/>
        <w:rPr>
          <w:color w:val="000000" w:themeColor="text1"/>
        </w:rPr>
      </w:pPr>
      <w:bookmarkStart w:id="71" w:name="_onwrdied9wpk" w:colFirst="0" w:colLast="0"/>
      <w:bookmarkEnd w:id="71"/>
      <w:r w:rsidRPr="00853FE4">
        <w:rPr>
          <w:color w:val="000000" w:themeColor="text1"/>
        </w:rPr>
        <w:lastRenderedPageBreak/>
        <w:t>7.1 Organizational Disruption and Cultural Resistance</w:t>
      </w:r>
    </w:p>
    <w:p w14:paraId="6FF559F7" w14:textId="77777777" w:rsidR="007D75A8" w:rsidRPr="00853FE4" w:rsidRDefault="00000000">
      <w:pPr>
        <w:rPr>
          <w:color w:val="000000" w:themeColor="text1"/>
        </w:rPr>
      </w:pPr>
      <w:r w:rsidRPr="00853FE4">
        <w:rPr>
          <w:color w:val="000000" w:themeColor="text1"/>
        </w:rPr>
        <w:t>The adoption of a data mesh architecture requires NOAA Fisheries to simultaneously restructure its data ownership model, reorganize its information technology workforce, and redefine longstanding institutional workflows. These organizational changes are not incidental costs of the transition; they are the core challenge. Unlike a technology refresh, which can often be absorbed within existing reporting structures, data mesh explicitly reallocates authority over data from centralized teams to cross-functional domain teams. This reallocation generates genuine cultural friction that must be acknowledged and managed rather than minimized.</w:t>
      </w:r>
    </w:p>
    <w:p w14:paraId="3289520A" w14:textId="77777777" w:rsidR="007D75A8" w:rsidRPr="00853FE4" w:rsidRDefault="00000000">
      <w:pPr>
        <w:pStyle w:val="Heading3"/>
        <w:rPr>
          <w:color w:val="000000" w:themeColor="text1"/>
        </w:rPr>
      </w:pPr>
      <w:bookmarkStart w:id="72" w:name="_gle2xxs9iffa" w:colFirst="0" w:colLast="0"/>
      <w:bookmarkEnd w:id="72"/>
      <w:r w:rsidRPr="00853FE4">
        <w:rPr>
          <w:color w:val="000000" w:themeColor="text1"/>
        </w:rPr>
        <w:t>The Central Tradeoff: Agility vs. Institutional Stability</w:t>
      </w:r>
    </w:p>
    <w:p w14:paraId="591D2678" w14:textId="77777777" w:rsidR="007D75A8" w:rsidRPr="00853FE4" w:rsidRDefault="00000000">
      <w:pPr>
        <w:rPr>
          <w:color w:val="000000" w:themeColor="text1"/>
        </w:rPr>
      </w:pPr>
      <w:r w:rsidRPr="00853FE4">
        <w:rPr>
          <w:color w:val="000000" w:themeColor="text1"/>
        </w:rPr>
        <w:t>The foundational tradeoff of data mesh adoption is between the domain agility it enables and the organizational stability it disrupts. Domain ownership places data product responsibility directly in the hands of the scientists, analysts, and program managers who possess the deepest understanding of the data's meaning and use (Dehghani, 2022). For the Fishery Monitoring domain, this means that the programs managing EM data products can make schema refinements, adjust quality SLOs, and onboard new consumers without navigating a centralized queue of competing enterprise requests. The result is faster, more mission-responsive data delivery. The cost is the displacement of established authority structures: centralized data management offices lose gatekeeping functions, regional IT directors lose infrastructure procurement autonomy, and program managers accustomed to operating independent data silos must now coordinate across domain boundaries.</w:t>
      </w:r>
    </w:p>
    <w:p w14:paraId="4E59A575" w14:textId="77777777" w:rsidR="007D75A8" w:rsidRPr="00853FE4" w:rsidRDefault="007D75A8">
      <w:pPr>
        <w:pBdr>
          <w:top w:val="nil"/>
          <w:left w:val="nil"/>
          <w:bottom w:val="nil"/>
          <w:right w:val="nil"/>
          <w:between w:val="nil"/>
        </w:pBdr>
        <w:rPr>
          <w:color w:val="000000" w:themeColor="text1"/>
        </w:rPr>
      </w:pPr>
    </w:p>
    <w:p w14:paraId="602D4781" w14:textId="77777777" w:rsidR="007D75A8" w:rsidRPr="00853FE4" w:rsidRDefault="00000000">
      <w:pPr>
        <w:rPr>
          <w:color w:val="000000" w:themeColor="text1"/>
        </w:rPr>
      </w:pPr>
      <w:r w:rsidRPr="00853FE4">
        <w:rPr>
          <w:color w:val="000000" w:themeColor="text1"/>
        </w:rPr>
        <w:t>This disruption is not an implementation defect; it is a direct consequence of the architectural principle. Conway (1968) demonstrated that system architecture mirrors organizational communication structure. The fragmented, siloed architecture described in Section 2.2 is not a random accident but a structural reflection of NOAA Fisheries' own regional and programmatic divisions. Consequently, resolving architectural fragmentation requires organizational change. A data mesh cannot be deployed beneath a rigidly centralized organization any more than a centralized data warehouse can serve a genuinely federated enterprise (Perrin &amp; Broda, 2024). The organization must choose: preserve existing power structures and accept continued architectural fragmentation, or restructure authority and unlock cross-domain data interoperability.</w:t>
      </w:r>
    </w:p>
    <w:p w14:paraId="441CFD13" w14:textId="77777777" w:rsidR="007D75A8" w:rsidRPr="00853FE4" w:rsidRDefault="00000000">
      <w:pPr>
        <w:pStyle w:val="Heading3"/>
        <w:rPr>
          <w:color w:val="000000" w:themeColor="text1"/>
        </w:rPr>
      </w:pPr>
      <w:bookmarkStart w:id="73" w:name="_5iw2uokplz4y" w:colFirst="0" w:colLast="0"/>
      <w:bookmarkEnd w:id="73"/>
      <w:r w:rsidRPr="00853FE4">
        <w:rPr>
          <w:color w:val="000000" w:themeColor="text1"/>
        </w:rPr>
        <w:t>Risk of Central Team Resistance</w:t>
      </w:r>
    </w:p>
    <w:p w14:paraId="27259A3F" w14:textId="77777777" w:rsidR="007D75A8" w:rsidRPr="00853FE4" w:rsidRDefault="00000000">
      <w:pPr>
        <w:rPr>
          <w:color w:val="000000" w:themeColor="text1"/>
        </w:rPr>
      </w:pPr>
      <w:r w:rsidRPr="00853FE4">
        <w:rPr>
          <w:color w:val="000000" w:themeColor="text1"/>
        </w:rPr>
        <w:t xml:space="preserve">The most predictable source of cultural resistance originates from centralized data and information technology teams. Under the proposed architecture, the role of central teams shifts </w:t>
      </w:r>
      <w:r w:rsidRPr="00853FE4">
        <w:rPr>
          <w:color w:val="000000" w:themeColor="text1"/>
        </w:rPr>
        <w:lastRenderedPageBreak/>
        <w:t>from data gatekeeping and infrastructure provisioning to platform engineering and governance enablement. Regional IT offices that have historically operated their own data centers, managed their own Oracle databases, and controlled access to their own analytical outputs may perceive this shift as a loss of autonomy, budget authority, and organizational relevance.</w:t>
      </w:r>
    </w:p>
    <w:p w14:paraId="689B1C48" w14:textId="77777777" w:rsidR="007D75A8" w:rsidRPr="00853FE4" w:rsidRDefault="007D75A8">
      <w:pPr>
        <w:pBdr>
          <w:top w:val="nil"/>
          <w:left w:val="nil"/>
          <w:bottom w:val="nil"/>
          <w:right w:val="nil"/>
          <w:between w:val="nil"/>
        </w:pBdr>
        <w:rPr>
          <w:color w:val="000000" w:themeColor="text1"/>
        </w:rPr>
      </w:pPr>
    </w:p>
    <w:p w14:paraId="2198D53E" w14:textId="77777777" w:rsidR="007D75A8" w:rsidRPr="00853FE4" w:rsidRDefault="00000000">
      <w:pPr>
        <w:rPr>
          <w:color w:val="000000" w:themeColor="text1"/>
        </w:rPr>
      </w:pPr>
      <w:r w:rsidRPr="00853FE4">
        <w:rPr>
          <w:color w:val="000000" w:themeColor="text1"/>
        </w:rPr>
        <w:t>This risk is compounded by the organizational model proposed in Section 5.1, which centralizes regional IT operations under the NOAA Fisheries Office of the Chief Information Officer to staff the enterprise platform team. When this consolidation is coupled with the delegation of data product ownership to domain Data Product Owners, two distinct resistance vectors emerge. Central IT staff may resist what they perceive as a reduction in their operational scope, while regional leadership may resist what they perceive as a consolidation of technical authority at the national level. The mitigation for both vectors, consistent with the platform-as-product philosophy of Perrin and Broda (2024), is to reframe the central team's role explicitly: the platform team is not losing authority but gaining leverage. A single platform engineer supporting a shared landing zone that serves eight domains delivers far greater mission impact than eight regional database administrators each maintaining isolated, incompatible infrastructure. Executive sponsorship must communicate this reframing consistently and visibly, emphasizing that central roles are being elevated from maintenance to enablement, not eliminated.</w:t>
      </w:r>
    </w:p>
    <w:p w14:paraId="7F397241" w14:textId="77777777" w:rsidR="007D75A8" w:rsidRPr="00853FE4" w:rsidRDefault="00000000">
      <w:pPr>
        <w:pStyle w:val="Heading3"/>
        <w:rPr>
          <w:color w:val="000000" w:themeColor="text1"/>
        </w:rPr>
      </w:pPr>
      <w:bookmarkStart w:id="74" w:name="_usbei4d3l33b" w:colFirst="0" w:colLast="0"/>
      <w:bookmarkEnd w:id="74"/>
      <w:r w:rsidRPr="00853FE4">
        <w:rPr>
          <w:color w:val="000000" w:themeColor="text1"/>
        </w:rPr>
        <w:t>Risk of Domain Team Resistance</w:t>
      </w:r>
    </w:p>
    <w:p w14:paraId="59E1136F" w14:textId="77777777" w:rsidR="007D75A8" w:rsidRPr="00853FE4" w:rsidRDefault="00000000">
      <w:pPr>
        <w:rPr>
          <w:color w:val="000000" w:themeColor="text1"/>
        </w:rPr>
      </w:pPr>
      <w:r w:rsidRPr="00853FE4">
        <w:rPr>
          <w:color w:val="000000" w:themeColor="text1"/>
        </w:rPr>
        <w:t>Resistance does not flow exclusively from centralized entities. Domain teams, composed of fishery biologists, stock assessment scientists, observer program analysts, and other mission specialists, may also resist the transition to data product ownership. For these personnel, whose professional identity and institutional incentives are anchored in scientific publication, regulatory compliance, and field operations, data product management can feel like an unfunded mandate that diverts attention from core mission responsibilities.</w:t>
      </w:r>
    </w:p>
    <w:p w14:paraId="2AB371DA" w14:textId="77777777" w:rsidR="007D75A8" w:rsidRPr="00853FE4" w:rsidRDefault="007D75A8">
      <w:pPr>
        <w:pBdr>
          <w:top w:val="nil"/>
          <w:left w:val="nil"/>
          <w:bottom w:val="nil"/>
          <w:right w:val="nil"/>
          <w:between w:val="nil"/>
        </w:pBdr>
        <w:rPr>
          <w:color w:val="000000" w:themeColor="text1"/>
        </w:rPr>
      </w:pPr>
    </w:p>
    <w:p w14:paraId="41237A95" w14:textId="77777777" w:rsidR="007D75A8" w:rsidRPr="00853FE4" w:rsidRDefault="00000000">
      <w:pPr>
        <w:rPr>
          <w:color w:val="000000" w:themeColor="text1"/>
        </w:rPr>
      </w:pPr>
      <w:r w:rsidRPr="00853FE4">
        <w:rPr>
          <w:color w:val="000000" w:themeColor="text1"/>
        </w:rPr>
        <w:t>The EM Fishery Monitoring domain illustrates this tension clearly. Regional observer program staff already operate under significant resource constraints, managing field deployments, validating observer reports, and reconciling trip-level data across multiple fisheries. Asking these same staff to additionally define BigQuery schemas, monitor Dataplex data quality rules, and respond to consumer support requests from the stock assessment domain risks overwhelming already-stretched teams. If the platform does not demonstrably reduce their existing data management burden, domain personnel will predictably resist the additional responsibilities.</w:t>
      </w:r>
    </w:p>
    <w:p w14:paraId="09227D6D" w14:textId="77777777" w:rsidR="007D75A8" w:rsidRPr="00853FE4" w:rsidRDefault="007D75A8">
      <w:pPr>
        <w:pBdr>
          <w:top w:val="nil"/>
          <w:left w:val="nil"/>
          <w:bottom w:val="nil"/>
          <w:right w:val="nil"/>
          <w:between w:val="nil"/>
        </w:pBdr>
        <w:rPr>
          <w:color w:val="000000" w:themeColor="text1"/>
        </w:rPr>
      </w:pPr>
    </w:p>
    <w:p w14:paraId="0B32632B" w14:textId="77777777" w:rsidR="007D75A8" w:rsidRPr="00853FE4" w:rsidRDefault="00000000">
      <w:pPr>
        <w:rPr>
          <w:color w:val="000000" w:themeColor="text1"/>
        </w:rPr>
      </w:pPr>
      <w:r w:rsidRPr="00853FE4">
        <w:rPr>
          <w:color w:val="000000" w:themeColor="text1"/>
        </w:rPr>
        <w:t xml:space="preserve">The refined Data Product Owner role developed in Section 5.1 is the primary architectural mitigation for this risk. The DPO is not a rebranding of a fishery biologist; it is a dedicated </w:t>
      </w:r>
      <w:r w:rsidRPr="00853FE4">
        <w:rPr>
          <w:color w:val="000000" w:themeColor="text1"/>
        </w:rPr>
        <w:lastRenderedPageBreak/>
        <w:t>stewardship role, filled by a small, focused group that sits between the scientific domain teams and the central platform team. The DPO possesses sufficient working knowledge of both the scientific domain, such as observer program operations, and the platform capabilities, such as BigQuery partitioning strategies and Cloud Monitoring SLO tracking, to absorb the technical complexity on behalf of the domain. Domain scientists contribute to product requirements and data quality rules in their areas of substantive expertise but are not expected to become infrastructure engineers. This separation of concerns preserves the scientific focus of domain personnel while providing domains with the technical stewardship necessary to fulfill data product ownership responsibilities.</w:t>
      </w:r>
    </w:p>
    <w:p w14:paraId="27130E50" w14:textId="77777777" w:rsidR="007D75A8" w:rsidRPr="00853FE4" w:rsidRDefault="00000000">
      <w:pPr>
        <w:pStyle w:val="Heading3"/>
        <w:rPr>
          <w:color w:val="000000" w:themeColor="text1"/>
        </w:rPr>
      </w:pPr>
      <w:bookmarkStart w:id="75" w:name="_ua6f3x7h4yv9" w:colFirst="0" w:colLast="0"/>
      <w:bookmarkEnd w:id="75"/>
      <w:r w:rsidRPr="00853FE4">
        <w:rPr>
          <w:color w:val="000000" w:themeColor="text1"/>
        </w:rPr>
        <w:t>The Risk of Partial Adoption</w:t>
      </w:r>
    </w:p>
    <w:p w14:paraId="2118D48D" w14:textId="77777777" w:rsidR="007D75A8" w:rsidRPr="00853FE4" w:rsidRDefault="00000000">
      <w:pPr>
        <w:rPr>
          <w:color w:val="000000" w:themeColor="text1"/>
        </w:rPr>
      </w:pPr>
      <w:r w:rsidRPr="00853FE4">
        <w:rPr>
          <w:color w:val="000000" w:themeColor="text1"/>
        </w:rPr>
        <w:t>A final organizational risk merits explicit attention: the risk of partial or uneven adoption across domains. The value proposition of a data mesh depends on connectivity. The EM data product's contribution to stock assessment depends on the Stock Assessment domain also operating as an active data product consumer within the mesh, with the technical capability to query BigQuery datasets, the IAM permissions to access Fishery Monitoring products, and the institutional willingness to consume domain-owned data rather than maintaining independent data collection pipelines. If some domains adopt data mesh practices while others decline to participate, citing resource constraints, cultural objections, or satisfaction with existing workflows, the mesh loses its network effects. The architecture risks becoming a collection of isolated modernization islands, no more connected than the fragmented legacy systems it was designed to replace.</w:t>
      </w:r>
    </w:p>
    <w:p w14:paraId="509EF59F" w14:textId="77777777" w:rsidR="007D75A8" w:rsidRPr="00853FE4" w:rsidRDefault="007D75A8">
      <w:pPr>
        <w:pBdr>
          <w:top w:val="nil"/>
          <w:left w:val="nil"/>
          <w:bottom w:val="nil"/>
          <w:right w:val="nil"/>
          <w:between w:val="nil"/>
        </w:pBdr>
        <w:rPr>
          <w:color w:val="000000" w:themeColor="text1"/>
        </w:rPr>
      </w:pPr>
    </w:p>
    <w:p w14:paraId="7D41AAC7" w14:textId="77777777" w:rsidR="007D75A8" w:rsidRPr="00853FE4" w:rsidRDefault="00000000">
      <w:pPr>
        <w:rPr>
          <w:color w:val="000000" w:themeColor="text1"/>
        </w:rPr>
      </w:pPr>
      <w:r w:rsidRPr="00853FE4">
        <w:rPr>
          <w:color w:val="000000" w:themeColor="text1"/>
        </w:rPr>
        <w:t>Mitigation for this risk requires a combination of incentives and mandates. Early pilot domains, beginning with the EM data product in the Fishery Monitoring domain, must demonstrate tangible, measurable improvements in consumer satisfaction, data discovery time, or analytical throughput. These results create the evidentiary basis for broader adoption. Simultaneously, the Data Governance Council proposed in Section 5.4 must establish minimum participation requirements that apply universally, such as mandatory Data Catalog registration for all enterprise data assets and standardized data product contracts for any dataset consumed across domain boundaries. Voluntary adoption, unsupported by governance mandates, is insufficient to overcome the institutional inertia that resists reorganization.</w:t>
      </w:r>
    </w:p>
    <w:p w14:paraId="5B418236" w14:textId="77777777" w:rsidR="007D75A8" w:rsidRPr="00853FE4" w:rsidRDefault="007D75A8">
      <w:pPr>
        <w:pBdr>
          <w:top w:val="nil"/>
          <w:left w:val="nil"/>
          <w:bottom w:val="nil"/>
          <w:right w:val="nil"/>
          <w:between w:val="nil"/>
        </w:pBdr>
        <w:rPr>
          <w:color w:val="000000" w:themeColor="text1"/>
        </w:rPr>
      </w:pPr>
    </w:p>
    <w:p w14:paraId="7B2D3D70" w14:textId="77777777" w:rsidR="007D75A8" w:rsidRPr="00853FE4" w:rsidRDefault="00000000">
      <w:pPr>
        <w:rPr>
          <w:color w:val="000000" w:themeColor="text1"/>
        </w:rPr>
      </w:pPr>
      <w:r w:rsidRPr="00853FE4">
        <w:rPr>
          <w:color w:val="000000" w:themeColor="text1"/>
        </w:rPr>
        <w:t xml:space="preserve">In summary, organizational disruption is not a regrettable side effect of data mesh adoption; it is the mechanism by which the architecture achieves its objectives. The transition intentionally redistributes authority because the existing distribution of authority produced the architectural fragmentation that the mesh is designed to resolve. The risks of central team resistance, domain team resistance, and partial adoption are real and must be managed through a combination of </w:t>
      </w:r>
      <w:r w:rsidRPr="00853FE4">
        <w:rPr>
          <w:color w:val="000000" w:themeColor="text1"/>
        </w:rPr>
        <w:lastRenderedPageBreak/>
        <w:t>executive sponsorship, role clarity, the DPO stewardship model, demonstrated early wins, and governance mandates that prevent selective opt-out. The following subsection examines whether the financial investment required to sustain this organizational transformation is justified by the long-term efficiency gains it promises.</w:t>
      </w:r>
    </w:p>
    <w:p w14:paraId="119ADA24" w14:textId="77777777" w:rsidR="007D75A8" w:rsidRPr="00853FE4" w:rsidRDefault="00000000">
      <w:pPr>
        <w:pStyle w:val="Heading2"/>
        <w:rPr>
          <w:color w:val="000000" w:themeColor="text1"/>
        </w:rPr>
      </w:pPr>
      <w:bookmarkStart w:id="76" w:name="_rs0j4cadzhm8" w:colFirst="0" w:colLast="0"/>
      <w:bookmarkEnd w:id="76"/>
      <w:r w:rsidRPr="00853FE4">
        <w:rPr>
          <w:color w:val="000000" w:themeColor="text1"/>
        </w:rPr>
        <w:t>7.2 Platform Investment and Total Cost of Ownership</w:t>
      </w:r>
    </w:p>
    <w:p w14:paraId="7CAF527E" w14:textId="77777777" w:rsidR="007D75A8" w:rsidRPr="00853FE4" w:rsidRDefault="00000000">
      <w:pPr>
        <w:rPr>
          <w:color w:val="000000" w:themeColor="text1"/>
        </w:rPr>
      </w:pPr>
      <w:r w:rsidRPr="00853FE4">
        <w:rPr>
          <w:color w:val="000000" w:themeColor="text1"/>
        </w:rPr>
        <w:t>Adopting a data mesh demands significant upfront investment in the self-serve platform, the shared infrastructure foundation upon which all domains depend. This investment introduces financial tradeoffs that NOAA Fisheries must confront directly. Although the long-term efficiency gains of a well-implemented mesh can exceed those of fragmented, duplicated infrastructure, the near-term costs of building and operating the platform, combined with the cloud consumption costs of migrating legacy workloads, are substantial and must be justified within the constraints of the federal budgeting process.</w:t>
      </w:r>
    </w:p>
    <w:p w14:paraId="6CFCAD8C" w14:textId="77777777" w:rsidR="007D75A8" w:rsidRPr="00853FE4" w:rsidRDefault="00000000">
      <w:pPr>
        <w:pStyle w:val="Heading3"/>
        <w:rPr>
          <w:color w:val="000000" w:themeColor="text1"/>
        </w:rPr>
      </w:pPr>
      <w:bookmarkStart w:id="77" w:name="_mjy2787phol3" w:colFirst="0" w:colLast="0"/>
      <w:bookmarkEnd w:id="77"/>
      <w:r w:rsidRPr="00853FE4">
        <w:rPr>
          <w:color w:val="000000" w:themeColor="text1"/>
        </w:rPr>
        <w:t>The Central Tradeoff: Upfront Investment vs. Long-Term Efficiency</w:t>
      </w:r>
    </w:p>
    <w:p w14:paraId="349AC4C7" w14:textId="77777777" w:rsidR="007D75A8" w:rsidRPr="00853FE4" w:rsidRDefault="00000000">
      <w:pPr>
        <w:rPr>
          <w:color w:val="000000" w:themeColor="text1"/>
        </w:rPr>
      </w:pPr>
      <w:r w:rsidRPr="00853FE4">
        <w:rPr>
          <w:color w:val="000000" w:themeColor="text1"/>
        </w:rPr>
        <w:t>The self-serve platform described in Section 5.3 requires dedicated platform engineering personnel, a Shared VPC network architecture, Cloud Interconnect connectivity to on-premises science center data centers, a catalog of production-hardened infrastructure templates, and a suite of centralized services including Cloud Monitoring, Cloud Logging, and Security Command Center. These components represent a genuine capital investment that must be funded before the first domain data product can be created. In a fiscal environment where annual appropriations constrain multi-year commitments, the funding model must bridge the gap between upfront platform costs and the downstream savings that materialize only as domains onboard, consolidate their infrastructure, and retire legacy systems.</w:t>
      </w:r>
    </w:p>
    <w:p w14:paraId="307BD5F1" w14:textId="77777777" w:rsidR="007D75A8" w:rsidRPr="00853FE4" w:rsidRDefault="007D75A8">
      <w:pPr>
        <w:pBdr>
          <w:top w:val="nil"/>
          <w:left w:val="nil"/>
          <w:bottom w:val="nil"/>
          <w:right w:val="nil"/>
          <w:between w:val="nil"/>
        </w:pBdr>
        <w:rPr>
          <w:color w:val="000000" w:themeColor="text1"/>
        </w:rPr>
      </w:pPr>
    </w:p>
    <w:p w14:paraId="19CB5B9D" w14:textId="77777777" w:rsidR="007D75A8" w:rsidRPr="00853FE4" w:rsidRDefault="00000000">
      <w:pPr>
        <w:rPr>
          <w:color w:val="000000" w:themeColor="text1"/>
        </w:rPr>
      </w:pPr>
      <w:r w:rsidRPr="00853FE4">
        <w:rPr>
          <w:color w:val="000000" w:themeColor="text1"/>
        </w:rPr>
        <w:t xml:space="preserve">The long-term efficiency case, however, is architecturally grounded. In the current fragmented state, each regional office and science center independently procures, operates, and maintains its own data infrastructure (Section 2.2). This pattern generates duplicated costs across compute, storage, licensing, and personnel. A centralized platform, shared across all eight domains, replaces these duplicated investments with a single, governed infrastructure layer. The financial model proposed in Section 5.3 separates costs into two categories: capital fund services, including the GCP organization, Shared VPC, Cloud Interconnect, Security Command Center, and platform team personnel, funded at the headquarters level, and cost-recovered domain-specific consumption, including BigQuery slots, Cloud Storage, compute, and Data Catalog usage, attributed to cost centers via GCP resource labels. This model preserves the efficiency of </w:t>
      </w:r>
      <w:r w:rsidRPr="00853FE4">
        <w:rPr>
          <w:color w:val="000000" w:themeColor="text1"/>
        </w:rPr>
        <w:lastRenderedPageBreak/>
        <w:t>shared infrastructure while maintaining the cost transparency and accountability necessary for domain ownership.</w:t>
      </w:r>
    </w:p>
    <w:p w14:paraId="29866071" w14:textId="77777777" w:rsidR="007D75A8" w:rsidRPr="00853FE4" w:rsidRDefault="00000000">
      <w:pPr>
        <w:pStyle w:val="Heading3"/>
        <w:rPr>
          <w:color w:val="000000" w:themeColor="text1"/>
        </w:rPr>
      </w:pPr>
      <w:bookmarkStart w:id="78" w:name="_rekfboay2v1a" w:colFirst="0" w:colLast="0"/>
      <w:bookmarkEnd w:id="78"/>
      <w:r w:rsidRPr="00853FE4">
        <w:rPr>
          <w:color w:val="000000" w:themeColor="text1"/>
        </w:rPr>
        <w:t>Risk of Platform Underinvestment</w:t>
      </w:r>
    </w:p>
    <w:p w14:paraId="232E90B1" w14:textId="77777777" w:rsidR="007D75A8" w:rsidRPr="00853FE4" w:rsidRDefault="00000000">
      <w:pPr>
        <w:rPr>
          <w:color w:val="000000" w:themeColor="text1"/>
        </w:rPr>
      </w:pPr>
      <w:r w:rsidRPr="00853FE4">
        <w:rPr>
          <w:color w:val="000000" w:themeColor="text1"/>
        </w:rPr>
        <w:t>The most significant financial risk in data mesh adoption is underinvestment in the platform itself. A self-serve platform that is under-resourced, under-staffed, or prematurely launched will deliver a poor developer experience. Domain teams encountering slow provisioning, unreliable templates, or inadequate documentation will predictably revert to their existing, familiar data management practices. The platform becomes a barrier rather than an enabler, and the mesh stalls before it achieves critical mass.</w:t>
      </w:r>
    </w:p>
    <w:p w14:paraId="4C718E46" w14:textId="77777777" w:rsidR="007D75A8" w:rsidRPr="00853FE4" w:rsidRDefault="007D75A8">
      <w:pPr>
        <w:pBdr>
          <w:top w:val="nil"/>
          <w:left w:val="nil"/>
          <w:bottom w:val="nil"/>
          <w:right w:val="nil"/>
          <w:between w:val="nil"/>
        </w:pBdr>
        <w:rPr>
          <w:color w:val="000000" w:themeColor="text1"/>
        </w:rPr>
      </w:pPr>
    </w:p>
    <w:p w14:paraId="3B6BE135" w14:textId="77777777" w:rsidR="007D75A8" w:rsidRPr="00853FE4" w:rsidRDefault="00000000">
      <w:pPr>
        <w:rPr>
          <w:color w:val="000000" w:themeColor="text1"/>
        </w:rPr>
      </w:pPr>
      <w:r w:rsidRPr="00853FE4">
        <w:rPr>
          <w:color w:val="000000" w:themeColor="text1"/>
        </w:rPr>
        <w:t>Perrin and Broda (2024) identify platform underinvestment as a leading cause of data mesh initiative failure, emphasizing that the platform must be treated as a product with its own roadmap, service level objectives, and dedicated team, not as a one-time infrastructure project. For NOAA Fisheries, this risk is acute. The temptation to minimize platform investment in order to demonstrate early domain data products can backfire: domains that adopt before the platform is mature will encounter friction and may publicly discredit the initiative. The mitigation is a phased platform investment strategy tied to domain adoption milestones. The platform team must achieve production readiness across the foundational services, including IAM, networking, encryption, logging, and monitoring, before the first domain pilot begins. Subsequent platform capabilities, such as Dataplex automated quality profiling or Cloud Composer workflow orchestration, can be added incrementally as domain demand matures.</w:t>
      </w:r>
    </w:p>
    <w:p w14:paraId="34AB7690" w14:textId="77777777" w:rsidR="007D75A8" w:rsidRPr="00853FE4" w:rsidRDefault="00000000">
      <w:pPr>
        <w:pStyle w:val="Heading3"/>
        <w:rPr>
          <w:color w:val="000000" w:themeColor="text1"/>
        </w:rPr>
      </w:pPr>
      <w:bookmarkStart w:id="79" w:name="_opuw1xwbolxh" w:colFirst="0" w:colLast="0"/>
      <w:bookmarkEnd w:id="79"/>
      <w:r w:rsidRPr="00853FE4">
        <w:rPr>
          <w:color w:val="000000" w:themeColor="text1"/>
        </w:rPr>
        <w:t>Risk of Cloud Cost Overruns</w:t>
      </w:r>
    </w:p>
    <w:p w14:paraId="30F030A7" w14:textId="77777777" w:rsidR="007D75A8" w:rsidRPr="00853FE4" w:rsidRDefault="00000000">
      <w:pPr>
        <w:rPr>
          <w:color w:val="000000" w:themeColor="text1"/>
        </w:rPr>
      </w:pPr>
      <w:r w:rsidRPr="00853FE4">
        <w:rPr>
          <w:color w:val="000000" w:themeColor="text1"/>
        </w:rPr>
        <w:t>The transition from on-premises, capital-expenditure-based infrastructure to cloud-based, consumption-based services introduces a distinct financial risk: unmanaged cloud spending. In a federated model where domain teams directly provision BigQuery slots, execute queries, and store data, costs can escalate rapidly if consumption is not monitored, attributed, and governed. The FinOps framework introduced in Section 5.3 is not an optional enhancement; it is a prerequisite for fiscally responsible mesh operation.</w:t>
      </w:r>
    </w:p>
    <w:p w14:paraId="0987554E" w14:textId="77777777" w:rsidR="007D75A8" w:rsidRPr="00853FE4" w:rsidRDefault="007D75A8">
      <w:pPr>
        <w:pBdr>
          <w:top w:val="nil"/>
          <w:left w:val="nil"/>
          <w:bottom w:val="nil"/>
          <w:right w:val="nil"/>
          <w:between w:val="nil"/>
        </w:pBdr>
        <w:rPr>
          <w:color w:val="000000" w:themeColor="text1"/>
        </w:rPr>
      </w:pPr>
    </w:p>
    <w:p w14:paraId="27E054A0" w14:textId="77777777" w:rsidR="007D75A8" w:rsidRPr="00853FE4" w:rsidRDefault="00000000">
      <w:pPr>
        <w:rPr>
          <w:color w:val="000000" w:themeColor="text1"/>
        </w:rPr>
      </w:pPr>
      <w:r w:rsidRPr="00853FE4">
        <w:rPr>
          <w:color w:val="000000" w:themeColor="text1"/>
        </w:rPr>
        <w:t xml:space="preserve">The proposed mitigation relies on three interdependent FinOps practices. First, label-based cost attribution ensures that every GCP resource is tagged with domain, data-product, cost-center, and environment metadata, enabling Cloud Billing exports to BigQuery to generate automated monthly cost allocation reports. Second, budget alerts at the project level notify DPOs and Financial Management Center budget officers when consumption approaches predetermined thresholds, preventing surprise overages. Third, committed use discounts for predictable </w:t>
      </w:r>
      <w:r w:rsidRPr="00853FE4">
        <w:rPr>
          <w:color w:val="000000" w:themeColor="text1"/>
        </w:rPr>
        <w:lastRenderedPageBreak/>
        <w:t>workloads, such as the steady-state EM video ingestion pipeline, combined with on-demand pricing for burst workloads, such as end-of-season stock assessment model runs, optimize cost without constraining domain flexibility. The EM Fishery Monitoring domain provides a concrete example: monthly FinOps reports attribute cloud costs to the Alaska Fisheries Science Center, the Northeast Fisheries Science Center, and the cross-regional working group project in proportion to their respective data volumes, ensuring that each cost center bears a transparent, defensible share of the infrastructure cost.</w:t>
      </w:r>
    </w:p>
    <w:p w14:paraId="641B35F2" w14:textId="77777777" w:rsidR="007D75A8" w:rsidRPr="00853FE4" w:rsidRDefault="00000000">
      <w:pPr>
        <w:pStyle w:val="Heading3"/>
        <w:rPr>
          <w:color w:val="000000" w:themeColor="text1"/>
        </w:rPr>
      </w:pPr>
      <w:bookmarkStart w:id="80" w:name="_at3rasolwcbj" w:colFirst="0" w:colLast="0"/>
      <w:bookmarkEnd w:id="80"/>
      <w:r w:rsidRPr="00853FE4">
        <w:rPr>
          <w:color w:val="000000" w:themeColor="text1"/>
        </w:rPr>
        <w:t>Sustainability as a Fiscal and Operational Concern</w:t>
      </w:r>
    </w:p>
    <w:p w14:paraId="02F16B1F" w14:textId="77777777" w:rsidR="007D75A8" w:rsidRPr="00853FE4" w:rsidRDefault="00000000">
      <w:pPr>
        <w:rPr>
          <w:color w:val="000000" w:themeColor="text1"/>
        </w:rPr>
      </w:pPr>
      <w:r w:rsidRPr="00853FE4">
        <w:rPr>
          <w:color w:val="000000" w:themeColor="text1"/>
        </w:rPr>
        <w:t>Beyond direct financial expenditure, the platform must account for long-term operational sustainability. An underfunded platform team cannot maintain service levels, apply security patches, or evolve the platform to meet emerging domain needs. The platform-as-product philosophy (Perrin &amp; Broda, 2024) implies an ongoing commitment to platform engineering staffing at a level sufficient to support eight domains, each with multiple data products, across multiple fiscal years. This commitment must survive leadership transitions, budget cycles, and competing agency priorities. The Data Governance Council (Section 5.4) provides the institutional mechanism to defend platform investment by making platform health metrics, including domain onboarding velocity, template provisioning latency, and consumer satisfaction scores, visible to executive leadership. When platform funding is tied to demonstrable mission outcomes rather than treated as an abstract overhead line item, its budgetary resilience increases.</w:t>
      </w:r>
    </w:p>
    <w:p w14:paraId="02A72E73" w14:textId="77777777" w:rsidR="007D75A8" w:rsidRPr="00853FE4" w:rsidRDefault="007D75A8">
      <w:pPr>
        <w:pBdr>
          <w:top w:val="nil"/>
          <w:left w:val="nil"/>
          <w:bottom w:val="nil"/>
          <w:right w:val="nil"/>
          <w:between w:val="nil"/>
        </w:pBdr>
        <w:rPr>
          <w:color w:val="000000" w:themeColor="text1"/>
        </w:rPr>
      </w:pPr>
    </w:p>
    <w:p w14:paraId="62ADAF5E" w14:textId="77777777" w:rsidR="007D75A8" w:rsidRPr="00853FE4" w:rsidRDefault="00000000">
      <w:pPr>
        <w:rPr>
          <w:color w:val="000000" w:themeColor="text1"/>
        </w:rPr>
      </w:pPr>
      <w:r w:rsidRPr="00853FE4">
        <w:rPr>
          <w:color w:val="000000" w:themeColor="text1"/>
        </w:rPr>
        <w:t>In summary, the financial case for data mesh adoption rests on a proposition that must be validated through execution: that the efficiency gains of shared, governed infrastructure, combined with the elimination of duplicated regional investments, will, over a multi-year horizon, exceed the upfront cost of building and operating the self-serve platform. The risks of underinvestment and unmanaged cloud costs are real and can undermine this proposition before it is tested. The label-based FinOps model, phased platform investment, and institutional governance mechanisms proposed in Sections 5.3 and 5.4 provide the operational framework to manage these risks, but they require sustained discipline. The following subsection turns to a related form of investment: the design effort and ongoing negotiation required to make federated computational governance function effectively.</w:t>
      </w:r>
    </w:p>
    <w:p w14:paraId="3C2DA5D3" w14:textId="77777777" w:rsidR="007D75A8" w:rsidRPr="00853FE4" w:rsidRDefault="00000000">
      <w:pPr>
        <w:pStyle w:val="Heading2"/>
        <w:rPr>
          <w:color w:val="000000" w:themeColor="text1"/>
        </w:rPr>
      </w:pPr>
      <w:bookmarkStart w:id="81" w:name="_nod9qxfvb3py" w:colFirst="0" w:colLast="0"/>
      <w:bookmarkEnd w:id="81"/>
      <w:r w:rsidRPr="00853FE4">
        <w:rPr>
          <w:color w:val="000000" w:themeColor="text1"/>
        </w:rPr>
        <w:t>7.3 Federated Governance Complexity</w:t>
      </w:r>
    </w:p>
    <w:p w14:paraId="3E3F6B71" w14:textId="77777777" w:rsidR="007D75A8" w:rsidRPr="00853FE4" w:rsidRDefault="00000000">
      <w:pPr>
        <w:rPr>
          <w:color w:val="000000" w:themeColor="text1"/>
        </w:rPr>
      </w:pPr>
      <w:r w:rsidRPr="00853FE4">
        <w:rPr>
          <w:color w:val="000000" w:themeColor="text1"/>
        </w:rPr>
        <w:t xml:space="preserve">Federated computational governance is the mechanism that reconciles decentralized domain ownership with enterprise-wide consistency, security, and regulatory compliance. It replaces manual, centralized gatekeeping with automated, policy-driven enforcement embedded directly </w:t>
      </w:r>
      <w:r w:rsidRPr="00853FE4">
        <w:rPr>
          <w:color w:val="000000" w:themeColor="text1"/>
        </w:rPr>
        <w:lastRenderedPageBreak/>
        <w:t>in platform services. This shift promises to resolve the governance bottleneck that plagues traditional centralized architectures, but it introduces its own complexity. Designing a coherent, three-tier governance framework that spans global, domain, and product-level policies, and encoding those policies as executable platform configurations, requires a substantial upfront design investment and an ongoing commitment to policy refinement.</w:t>
      </w:r>
    </w:p>
    <w:p w14:paraId="22099516" w14:textId="77777777" w:rsidR="007D75A8" w:rsidRPr="00853FE4" w:rsidRDefault="00000000">
      <w:pPr>
        <w:pStyle w:val="Heading3"/>
        <w:rPr>
          <w:color w:val="000000" w:themeColor="text1"/>
        </w:rPr>
      </w:pPr>
      <w:bookmarkStart w:id="82" w:name="_z7f0tkmie35i" w:colFirst="0" w:colLast="0"/>
      <w:bookmarkEnd w:id="82"/>
      <w:r w:rsidRPr="00853FE4">
        <w:rPr>
          <w:color w:val="000000" w:themeColor="text1"/>
        </w:rPr>
        <w:t>The Central Tradeoff: Scale vs. Design Complexity</w:t>
      </w:r>
    </w:p>
    <w:p w14:paraId="64A927F5" w14:textId="77777777" w:rsidR="007D75A8" w:rsidRPr="00853FE4" w:rsidRDefault="00000000">
      <w:pPr>
        <w:rPr>
          <w:color w:val="000000" w:themeColor="text1"/>
        </w:rPr>
      </w:pPr>
      <w:r w:rsidRPr="00853FE4">
        <w:rPr>
          <w:color w:val="000000" w:themeColor="text1"/>
        </w:rPr>
        <w:t>The core tradeoff of computational governance is well understood in the data mesh literature. Dehghani (2022) frames federated governance as the mechanism that prevents decentralization from devolving into chaos. Global policies, such as encryption standards, audit logging requirements, and data classification taxonomies, establish a minimum compliance floor applicable to all domains. Domain-level policies, such as the Fishery Monitoring domain's species identification accuracy standards, provide local autonomy within global guardrails. Product-level policies, such as the EM data product's schema versioning rules and row-level access controls enforcing MSA confidentiality, operationalize governance at the dataset level. This three-tier structure, described in Section 5.4, enables governance to scale across domains without requiring a central authority to review every schema change or access request.</w:t>
      </w:r>
    </w:p>
    <w:p w14:paraId="486EE055" w14:textId="77777777" w:rsidR="007D75A8" w:rsidRPr="00853FE4" w:rsidRDefault="007D75A8">
      <w:pPr>
        <w:pBdr>
          <w:top w:val="nil"/>
          <w:left w:val="nil"/>
          <w:bottom w:val="nil"/>
          <w:right w:val="nil"/>
          <w:between w:val="nil"/>
        </w:pBdr>
        <w:rPr>
          <w:color w:val="000000" w:themeColor="text1"/>
        </w:rPr>
      </w:pPr>
    </w:p>
    <w:p w14:paraId="60A10028" w14:textId="77777777" w:rsidR="007D75A8" w:rsidRPr="00853FE4" w:rsidRDefault="00000000">
      <w:pPr>
        <w:rPr>
          <w:color w:val="000000" w:themeColor="text1"/>
        </w:rPr>
      </w:pPr>
      <w:r w:rsidRPr="00853FE4">
        <w:rPr>
          <w:color w:val="000000" w:themeColor="text1"/>
        </w:rPr>
        <w:t>The cost of this scalability, however, is the intellectual and engineering effort required to design, implement, and maintain the policy framework. Each tier must define policies with sufficient precision to be expressed as executable rules in IAM conditions, Dataplex quality checks, or Cloud DLP inspection templates. Ambiguity in policy definition, such as a vaguely specified data retention requirement that cannot be translated into a Cloud Storage lifecycle rule, renders the computational governance model ineffective. The governance design phase must produce not only policy documents but machine-actionable policy artifacts. This is a fundamentally different discipline from traditional policy drafting and requires collaboration between governance specialists, domain experts, and platform engineers (Perrin &amp; Broda, 2024).</w:t>
      </w:r>
    </w:p>
    <w:p w14:paraId="1B8FF239" w14:textId="77777777" w:rsidR="007D75A8" w:rsidRPr="00853FE4" w:rsidRDefault="00000000">
      <w:pPr>
        <w:pStyle w:val="Heading3"/>
        <w:rPr>
          <w:color w:val="000000" w:themeColor="text1"/>
        </w:rPr>
      </w:pPr>
      <w:bookmarkStart w:id="83" w:name="_ctj5r0n1fwbd" w:colFirst="0" w:colLast="0"/>
      <w:bookmarkEnd w:id="83"/>
      <w:r w:rsidRPr="00853FE4">
        <w:rPr>
          <w:color w:val="000000" w:themeColor="text1"/>
        </w:rPr>
        <w:t>Risk of Overly Restrictive Governance</w:t>
      </w:r>
    </w:p>
    <w:p w14:paraId="7C4C3990" w14:textId="77777777" w:rsidR="007D75A8" w:rsidRPr="00853FE4" w:rsidRDefault="00000000">
      <w:pPr>
        <w:rPr>
          <w:color w:val="000000" w:themeColor="text1"/>
        </w:rPr>
      </w:pPr>
      <w:r w:rsidRPr="00853FE4">
        <w:rPr>
          <w:color w:val="000000" w:themeColor="text1"/>
        </w:rPr>
        <w:t>One structural risk of computational governance is that policies, once encoded and automated, become overly restrictive. A global policy that enforces a uniform, enterprise-wide data retention period may be appropriate for administrative datasets but may conflict with the scientific requirements of long-term fisheries datasets that must be preserved for stock assessment hindcasting. A domain-level access control policy that restricts Fishery Monitoring data products to a narrow set of pre-authorized consumers may prevent legitimate, unforeseen use cases, such as a protected species researcher discovering that EM bycatch interaction data can illuminate entanglement risk in a fishery not originally anticipated.</w:t>
      </w:r>
    </w:p>
    <w:p w14:paraId="134946BF" w14:textId="77777777" w:rsidR="007D75A8" w:rsidRPr="00853FE4" w:rsidRDefault="007D75A8">
      <w:pPr>
        <w:pBdr>
          <w:top w:val="nil"/>
          <w:left w:val="nil"/>
          <w:bottom w:val="nil"/>
          <w:right w:val="nil"/>
          <w:between w:val="nil"/>
        </w:pBdr>
        <w:rPr>
          <w:color w:val="000000" w:themeColor="text1"/>
        </w:rPr>
      </w:pPr>
    </w:p>
    <w:p w14:paraId="7D2BC368" w14:textId="77777777" w:rsidR="007D75A8" w:rsidRPr="00853FE4" w:rsidRDefault="00000000">
      <w:pPr>
        <w:rPr>
          <w:color w:val="000000" w:themeColor="text1"/>
        </w:rPr>
      </w:pPr>
      <w:r w:rsidRPr="00853FE4">
        <w:rPr>
          <w:color w:val="000000" w:themeColor="text1"/>
        </w:rPr>
        <w:t>The EM data product illustrates the tension concretely. The MSA sec.402(b) confidentiality requirement rightly restricts vessel-level trip data, including identifying information, to enforcement and quota monitoring consumers. A governance policy that implements this restriction computationally, via BigQuery row-level security, is appropriate and legally necessary. However, if the same policy also, inadvertently, restricts the aggregated, de-identified catch composition view that the Stock Assessment domain requires, the governance framework has become a barrier rather than a safeguard. Computational governance must distinguish between legitimate restrictions and overly broad prohibitions, a distinction that is easier to articulate in principle than to encode precisely in IAM condition expressions.</w:t>
      </w:r>
    </w:p>
    <w:p w14:paraId="12F46B90" w14:textId="77777777" w:rsidR="007D75A8" w:rsidRPr="00853FE4" w:rsidRDefault="007D75A8">
      <w:pPr>
        <w:pBdr>
          <w:top w:val="nil"/>
          <w:left w:val="nil"/>
          <w:bottom w:val="nil"/>
          <w:right w:val="nil"/>
          <w:between w:val="nil"/>
        </w:pBdr>
        <w:rPr>
          <w:color w:val="000000" w:themeColor="text1"/>
        </w:rPr>
      </w:pPr>
    </w:p>
    <w:p w14:paraId="45CF33AD" w14:textId="77777777" w:rsidR="007D75A8" w:rsidRPr="00853FE4" w:rsidRDefault="00000000">
      <w:pPr>
        <w:rPr>
          <w:color w:val="000000" w:themeColor="text1"/>
        </w:rPr>
      </w:pPr>
      <w:r w:rsidRPr="00853FE4">
        <w:rPr>
          <w:color w:val="000000" w:themeColor="text1"/>
        </w:rPr>
        <w:t>Mitigation for this risk requires two complementary practices. First, the Data Governance Council proposed in Section 5.4 must include domain representation with sufficient authority to challenge policies that create unintended barriers. Second, the policy framework must incorporate a formal exception and review process, analogous to the continuous authorization model for NIST controls, that allows domains to petition for policy modifications when automated enforcement produces demonstrably adverse mission outcomes.</w:t>
      </w:r>
    </w:p>
    <w:p w14:paraId="38FE4ED0" w14:textId="77777777" w:rsidR="007D75A8" w:rsidRPr="00853FE4" w:rsidRDefault="00000000">
      <w:pPr>
        <w:pStyle w:val="Heading3"/>
        <w:rPr>
          <w:color w:val="000000" w:themeColor="text1"/>
        </w:rPr>
      </w:pPr>
      <w:bookmarkStart w:id="84" w:name="_nddg3mfpwmli" w:colFirst="0" w:colLast="0"/>
      <w:bookmarkEnd w:id="84"/>
      <w:r w:rsidRPr="00853FE4">
        <w:rPr>
          <w:color w:val="000000" w:themeColor="text1"/>
        </w:rPr>
        <w:t>Risk of Overly Permissive Governance</w:t>
      </w:r>
    </w:p>
    <w:p w14:paraId="0F2248AC" w14:textId="77777777" w:rsidR="007D75A8" w:rsidRPr="00853FE4" w:rsidRDefault="00000000">
      <w:pPr>
        <w:rPr>
          <w:color w:val="000000" w:themeColor="text1"/>
        </w:rPr>
      </w:pPr>
      <w:r w:rsidRPr="00853FE4">
        <w:rPr>
          <w:color w:val="000000" w:themeColor="text1"/>
        </w:rPr>
        <w:t>The opposing risk is equally significant: that federated governance, in its effort to preserve domain autonomy, becomes insufficiently rigorous to satisfy federal regulatory requirements. A governance framework that allows each domain to independently define its own encryption standards, its own audit logging scope, or its own access control model undermines the enterprise-wide compliance posture. The NIST SP 800-53 control mapping proposed in Section 5.4, which maps AC-3 (Access Enforcement) to Cloud IAM roles and conditions, AU-2 (Audit Logging) to Cloud Logging, and SC-7 (Boundary Protection) to VPC Service Controls, depends on these controls being applied consistently across all domains. If a single domain opts out of VPC Service Controls or disables Data Access Audit Logs, the common control inheritance model collapses, and each data product must independently demonstrate compliance, negating the efficiency rationale for the platform ATO strategy.</w:t>
      </w:r>
    </w:p>
    <w:p w14:paraId="314AB06C" w14:textId="77777777" w:rsidR="007D75A8" w:rsidRPr="00853FE4" w:rsidRDefault="007D75A8">
      <w:pPr>
        <w:pBdr>
          <w:top w:val="nil"/>
          <w:left w:val="nil"/>
          <w:bottom w:val="nil"/>
          <w:right w:val="nil"/>
          <w:between w:val="nil"/>
        </w:pBdr>
        <w:rPr>
          <w:color w:val="000000" w:themeColor="text1"/>
        </w:rPr>
      </w:pPr>
    </w:p>
    <w:p w14:paraId="195EF315" w14:textId="77777777" w:rsidR="007D75A8" w:rsidRPr="00853FE4" w:rsidRDefault="00000000">
      <w:pPr>
        <w:rPr>
          <w:color w:val="000000" w:themeColor="text1"/>
        </w:rPr>
      </w:pPr>
      <w:r w:rsidRPr="00853FE4">
        <w:rPr>
          <w:color w:val="000000" w:themeColor="text1"/>
        </w:rPr>
        <w:t xml:space="preserve">The mitigation for this risk is the global policy tier itself, which must be non-negotiable and platform-enforced. Global policies must be defined, versioned, and governed at the enterprise level by the Data Governance Council, with domain-level and product-level policies inheriting and extending, but never weakening, the global baseline. The platform must be architected so that global controls, such as CMEK encryption via Cloud KMS, mandatory VPC Service </w:t>
      </w:r>
      <w:r w:rsidRPr="00853FE4">
        <w:rPr>
          <w:color w:val="000000" w:themeColor="text1"/>
        </w:rPr>
        <w:lastRenderedPageBreak/>
        <w:t>Controls, and centralized audit log aggregation, are enforced at the GCP organization and folder level and cannot be overridden by individual domain project configurations.</w:t>
      </w:r>
    </w:p>
    <w:p w14:paraId="6AA029EB" w14:textId="77777777" w:rsidR="007D75A8" w:rsidRPr="00853FE4" w:rsidRDefault="00000000">
      <w:pPr>
        <w:pStyle w:val="Heading3"/>
        <w:rPr>
          <w:color w:val="000000" w:themeColor="text1"/>
        </w:rPr>
      </w:pPr>
      <w:bookmarkStart w:id="85" w:name="_iovucij4dag9" w:colFirst="0" w:colLast="0"/>
      <w:bookmarkEnd w:id="85"/>
      <w:r w:rsidRPr="00853FE4">
        <w:rPr>
          <w:color w:val="000000" w:themeColor="text1"/>
        </w:rPr>
        <w:t>Risk of Policy Conflicts Across Tiers</w:t>
      </w:r>
    </w:p>
    <w:p w14:paraId="1D750C8B" w14:textId="77777777" w:rsidR="007D75A8" w:rsidRPr="00853FE4" w:rsidRDefault="00000000">
      <w:pPr>
        <w:rPr>
          <w:color w:val="000000" w:themeColor="text1"/>
        </w:rPr>
      </w:pPr>
      <w:r w:rsidRPr="00853FE4">
        <w:rPr>
          <w:color w:val="000000" w:themeColor="text1"/>
        </w:rPr>
        <w:t>A third risk arises from the interaction of policies across the three governance tiers. A product-level policy that specifies a 30-day data freshness SLO for EM trip reports may conflict, in practice, with a domain-level policy that mandates a multi-stage quality review process requiring 45 days. A global retention policy that mandates deletion after seven years may conflict with a domain-level policy that requires permanent archival of stock assessment input datasets for scientific reproducibility. These conflicts are not theoretical; they are inherent to any multi-tier governance framework where independent authorities define overlapping policies.</w:t>
      </w:r>
    </w:p>
    <w:p w14:paraId="2E6EE0C0" w14:textId="77777777" w:rsidR="007D75A8" w:rsidRPr="00853FE4" w:rsidRDefault="007D75A8">
      <w:pPr>
        <w:pBdr>
          <w:top w:val="nil"/>
          <w:left w:val="nil"/>
          <w:bottom w:val="nil"/>
          <w:right w:val="nil"/>
          <w:between w:val="nil"/>
        </w:pBdr>
        <w:rPr>
          <w:color w:val="000000" w:themeColor="text1"/>
        </w:rPr>
      </w:pPr>
    </w:p>
    <w:p w14:paraId="6EB0FEB0" w14:textId="77777777" w:rsidR="007D75A8" w:rsidRPr="00853FE4" w:rsidRDefault="00000000">
      <w:pPr>
        <w:rPr>
          <w:color w:val="000000" w:themeColor="text1"/>
        </w:rPr>
      </w:pPr>
      <w:r w:rsidRPr="00853FE4">
        <w:rPr>
          <w:color w:val="000000" w:themeColor="text1"/>
        </w:rPr>
        <w:t>The mitigation strategy relies on automated policy validation and a clear conflict resolution hierarchy. The governance framework must incorporate tooling that can detect, at policy definition time, conflicts between global, domain, and product-level specifications. Dataplex, as the governance automation platform, can serve as the enforcement point for automated policy validation, surfacing conflicts to the Data Governance Council before they produce operational incidents. When conflicts cannot be resolved automatically, a predefined precedence hierarchy must apply: global policies take precedence over domain policies, and domain policies take precedence over product policies, reflecting the principle that enterprise compliance requirements cannot be subordinated to local optimization.</w:t>
      </w:r>
    </w:p>
    <w:p w14:paraId="17279715" w14:textId="77777777" w:rsidR="007D75A8" w:rsidRPr="00853FE4" w:rsidRDefault="00000000">
      <w:pPr>
        <w:pStyle w:val="Heading3"/>
        <w:rPr>
          <w:color w:val="000000" w:themeColor="text1"/>
        </w:rPr>
      </w:pPr>
      <w:bookmarkStart w:id="86" w:name="_mrpkkj4kygkl" w:colFirst="0" w:colLast="0"/>
      <w:bookmarkEnd w:id="86"/>
      <w:r w:rsidRPr="00853FE4">
        <w:rPr>
          <w:color w:val="000000" w:themeColor="text1"/>
        </w:rPr>
        <w:t>Sustaining Governance as a Continuous Process</w:t>
      </w:r>
    </w:p>
    <w:p w14:paraId="64DBBEBE" w14:textId="77777777" w:rsidR="007D75A8" w:rsidRPr="00853FE4" w:rsidRDefault="00000000">
      <w:pPr>
        <w:rPr>
          <w:color w:val="000000" w:themeColor="text1"/>
        </w:rPr>
      </w:pPr>
      <w:r w:rsidRPr="00853FE4">
        <w:rPr>
          <w:color w:val="000000" w:themeColor="text1"/>
        </w:rPr>
        <w:t>Finally, federated governance must be recognized as a continuous process rather than a one-time design exercise. As NOAA Fisheries' regulatory environment evolves, as new MSA interpretations emerge, as NIST control baselines are updated, and as new data products introduce novel governance requirements, the policy framework must adapt. The Data Governance Council must meet regularly, not episodically, and must have the authority to modify policies, approve exceptions, and commission policy automation updates. Without sustained institutional commitment, computational governance ossifies, and policies that were appropriate at initial design become obsolete constraints. Investment in governance must be treated as permanent, recurring operational expenditure, comparable to platform engineering staffing, not as a front-loaded project cost.</w:t>
      </w:r>
    </w:p>
    <w:p w14:paraId="5D316F1D" w14:textId="77777777" w:rsidR="007D75A8" w:rsidRPr="00853FE4" w:rsidRDefault="00000000">
      <w:pPr>
        <w:rPr>
          <w:color w:val="000000" w:themeColor="text1"/>
        </w:rPr>
      </w:pPr>
      <w:r w:rsidRPr="00853FE4">
        <w:rPr>
          <w:color w:val="000000" w:themeColor="text1"/>
        </w:rPr>
        <w:t xml:space="preserve">In summary, federated computational governance is the architectural mechanism that makes domain autonomy compatible with enterprise compliance, but it requires significant design investment, continuous refinement, and careful balancing of competing policy pressures. The risks of overly restrictive governance, overly permissive governance, and cross-tier policy </w:t>
      </w:r>
      <w:r w:rsidRPr="00853FE4">
        <w:rPr>
          <w:color w:val="000000" w:themeColor="text1"/>
        </w:rPr>
        <w:lastRenderedPageBreak/>
        <w:t>conflicts are real, and each is manageable through the combination of a representative Data Governance Council, a non-negotiable global policy floor, automated conflict detection, and a formal exception process. The following subsection shifts from governance design to the operational reality of integrating legacy systems, where policy elegance meets the constraints of decades-old databases.</w:t>
      </w:r>
    </w:p>
    <w:p w14:paraId="4C80A18C" w14:textId="77777777" w:rsidR="007D75A8" w:rsidRPr="00853FE4" w:rsidRDefault="00000000">
      <w:pPr>
        <w:pStyle w:val="Heading2"/>
        <w:rPr>
          <w:color w:val="000000" w:themeColor="text1"/>
        </w:rPr>
      </w:pPr>
      <w:bookmarkStart w:id="87" w:name="_mb2jcvg0l8t3" w:colFirst="0" w:colLast="0"/>
      <w:bookmarkEnd w:id="87"/>
      <w:r w:rsidRPr="00853FE4">
        <w:rPr>
          <w:color w:val="000000" w:themeColor="text1"/>
        </w:rPr>
        <w:t>7.4 Legacy System Integration Challenges</w:t>
      </w:r>
    </w:p>
    <w:p w14:paraId="7DC254EB" w14:textId="77777777" w:rsidR="007D75A8" w:rsidRPr="00853FE4" w:rsidRDefault="00000000">
      <w:pPr>
        <w:rPr>
          <w:color w:val="000000" w:themeColor="text1"/>
        </w:rPr>
      </w:pPr>
      <w:r w:rsidRPr="00853FE4">
        <w:rPr>
          <w:color w:val="000000" w:themeColor="text1"/>
        </w:rPr>
        <w:t>The architectural patterns proposed in Section 6.2, the Anti-Corruption Layer, Strangler Fig, and Parallel Run, are designed to enable the incremental migration of legacy systems without disrupting mission-critical fisheries operations. These patterns represent a deliberate choice to accept temporary operational complexity in exchange for reduced migration risk. The alternative, a "big bang" cutover from a legacy Oracle catch accounting database to a new BigQuery data product, would expose NOAA Fisheries to unacceptable operational risk, including potential interruption of quota monitoring during an active fishing season. However, the evolutionary approach introduces its own set of integration challenges that must be acknowledged.</w:t>
      </w:r>
    </w:p>
    <w:p w14:paraId="2340AC24" w14:textId="77777777" w:rsidR="007D75A8" w:rsidRPr="00853FE4" w:rsidRDefault="00000000">
      <w:pPr>
        <w:pStyle w:val="Heading3"/>
        <w:rPr>
          <w:color w:val="000000" w:themeColor="text1"/>
        </w:rPr>
      </w:pPr>
      <w:bookmarkStart w:id="88" w:name="_bccf4ke0zlr" w:colFirst="0" w:colLast="0"/>
      <w:bookmarkEnd w:id="88"/>
      <w:r w:rsidRPr="00853FE4">
        <w:rPr>
          <w:color w:val="000000" w:themeColor="text1"/>
        </w:rPr>
        <w:t>The Central Tradeoff: Risk Reduction vs. Dual-Run Complexity</w:t>
      </w:r>
    </w:p>
    <w:p w14:paraId="0318A2CB" w14:textId="77777777" w:rsidR="007D75A8" w:rsidRPr="00853FE4" w:rsidRDefault="00000000">
      <w:pPr>
        <w:rPr>
          <w:color w:val="000000" w:themeColor="text1"/>
        </w:rPr>
      </w:pPr>
      <w:r w:rsidRPr="00853FE4">
        <w:rPr>
          <w:color w:val="000000" w:themeColor="text1"/>
        </w:rPr>
        <w:t>The Strangler Fig pattern (Cartwright et al., 2024) avoids the existential risk of a failed cutover by allowing legacy systems and modernized data products to operate simultaneously, with the Anti-Corruption Layer (Evans, 2003) translating between legacy schemas and standardized data product interfaces. This architecture ensures that consumers, such as stock assessment scientists querying catch composition data, are insulated from the complexity of the underlying migration. The tradeoff is that, during the migration period, which may span multiple years for complex legacy systems, the organization must maintain, monitor, and fund two parallel data processing paths. The legacy Oracle database continues to require licensing, patching, and database administration. Simultaneously, the new BigQuery data product requires slot management, pipeline monitoring, and schema evolution. This dual-run period imposes a genuine operational and financial burden that must be accounted for in migration planning and resource allocation.</w:t>
      </w:r>
    </w:p>
    <w:p w14:paraId="632A04AF" w14:textId="77777777" w:rsidR="007D75A8" w:rsidRPr="00853FE4" w:rsidRDefault="007D75A8">
      <w:pPr>
        <w:pBdr>
          <w:top w:val="nil"/>
          <w:left w:val="nil"/>
          <w:bottom w:val="nil"/>
          <w:right w:val="nil"/>
          <w:between w:val="nil"/>
        </w:pBdr>
        <w:rPr>
          <w:color w:val="000000" w:themeColor="text1"/>
        </w:rPr>
      </w:pPr>
    </w:p>
    <w:p w14:paraId="5E029D98" w14:textId="77777777" w:rsidR="007D75A8" w:rsidRPr="00853FE4" w:rsidRDefault="00000000">
      <w:pPr>
        <w:rPr>
          <w:color w:val="000000" w:themeColor="text1"/>
        </w:rPr>
      </w:pPr>
      <w:r w:rsidRPr="00853FE4">
        <w:rPr>
          <w:color w:val="000000" w:themeColor="text1"/>
        </w:rPr>
        <w:t xml:space="preserve">The step-by-step regional catch accounting migration example developed in Section 6.2 illustrates this complexity concretely. During the Parallel Run phase, the regional office must calculate fishery quotas using both the legacy on-premises Oracle system and the new BigQuery-based data product for an entire fishing season. This requires staff to maintain two distinct codebases for quota calculations, reconcile discrepancies between two independent data processing pipelines, and explain any divergences to fishery managers who depend on quota reports for regulatory decision-making. The operational overhead is substantial, yet it is the price </w:t>
      </w:r>
      <w:r w:rsidRPr="00853FE4">
        <w:rPr>
          <w:color w:val="000000" w:themeColor="text1"/>
        </w:rPr>
        <w:lastRenderedPageBreak/>
        <w:t>of the confidence that the Parallel Run provides: only by comparing outputs across a complete seasonal cycle can stakeholders verify, with the rigor that fisheries management demands, that the new system faithfully reproduces and, where appropriate, improves upon the legacy baseline.</w:t>
      </w:r>
    </w:p>
    <w:p w14:paraId="2564AFE7" w14:textId="77777777" w:rsidR="007D75A8" w:rsidRPr="00853FE4" w:rsidRDefault="00000000">
      <w:pPr>
        <w:pStyle w:val="Heading3"/>
        <w:rPr>
          <w:color w:val="000000" w:themeColor="text1"/>
        </w:rPr>
      </w:pPr>
      <w:bookmarkStart w:id="89" w:name="_kp5la8rn93i9" w:colFirst="0" w:colLast="0"/>
      <w:bookmarkEnd w:id="89"/>
      <w:r w:rsidRPr="00853FE4">
        <w:rPr>
          <w:color w:val="000000" w:themeColor="text1"/>
        </w:rPr>
        <w:t>Risk of Integration Costs Exceeding Benefits</w:t>
      </w:r>
    </w:p>
    <w:p w14:paraId="22BD0909" w14:textId="77777777" w:rsidR="007D75A8" w:rsidRPr="00853FE4" w:rsidRDefault="00000000">
      <w:pPr>
        <w:rPr>
          <w:color w:val="000000" w:themeColor="text1"/>
        </w:rPr>
      </w:pPr>
      <w:r w:rsidRPr="00853FE4">
        <w:rPr>
          <w:color w:val="000000" w:themeColor="text1"/>
        </w:rPr>
        <w:t>Not all legacy systems generate sufficient value to justify the cost of integration. NOAA Fisheries operates a heterogeneous collection of legacy databases, some of which serve small, specialized user communities with limited cross-domain consumption potential. Applying the full Anti-Corruption Layer, Strangler Fig, and Parallel Run sequence to a legacy database that supports, for example, an internal administrative workflow with no external consumers would consume scarce platform engineering and domain DPO capacity that could be directed toward higher-value integrations. The migration strategy must discriminate between legacy systems that warrant the full pattern sequence and those for which a simpler approach, such as a one-time data export into Cloud Storage with basic Data Catalog registration, is more appropriate.</w:t>
      </w:r>
    </w:p>
    <w:p w14:paraId="4910691F" w14:textId="77777777" w:rsidR="007D75A8" w:rsidRPr="00853FE4" w:rsidRDefault="007D75A8">
      <w:pPr>
        <w:pBdr>
          <w:top w:val="nil"/>
          <w:left w:val="nil"/>
          <w:bottom w:val="nil"/>
          <w:right w:val="nil"/>
          <w:between w:val="nil"/>
        </w:pBdr>
        <w:rPr>
          <w:color w:val="000000" w:themeColor="text1"/>
        </w:rPr>
      </w:pPr>
    </w:p>
    <w:p w14:paraId="159DB5B6" w14:textId="77777777" w:rsidR="007D75A8" w:rsidRPr="00853FE4" w:rsidRDefault="00000000">
      <w:pPr>
        <w:rPr>
          <w:color w:val="000000" w:themeColor="text1"/>
        </w:rPr>
      </w:pPr>
      <w:r w:rsidRPr="00853FE4">
        <w:rPr>
          <w:color w:val="000000" w:themeColor="text1"/>
        </w:rPr>
        <w:t>The mitigation for this risk is the prioritization framework embedded in the guiding principles of Section 6.1. The value-first principle requires that migration effort be concentrated on legacy systems whose data products enable the greatest cross-domain consumption, such as the catch accounting and observer databases that feed the Stock Assessment and Fishery Monitoring domains. Low-value, single-consumer legacy systems should be deprecated through natural attrition, retired when their user communities migrate to alternative tools, rather than actively modernized. The Data Governance Council (Section 5.4) provides the forum for making these prioritization decisions transparently, ensuring that migration resources are allocated where they produce the greatest mission impact.</w:t>
      </w:r>
    </w:p>
    <w:p w14:paraId="5E50CCB9" w14:textId="77777777" w:rsidR="007D75A8" w:rsidRPr="00853FE4" w:rsidRDefault="00000000">
      <w:pPr>
        <w:pStyle w:val="Heading3"/>
        <w:rPr>
          <w:color w:val="000000" w:themeColor="text1"/>
        </w:rPr>
      </w:pPr>
      <w:bookmarkStart w:id="90" w:name="_jbclhzgigsx" w:colFirst="0" w:colLast="0"/>
      <w:bookmarkEnd w:id="90"/>
      <w:r w:rsidRPr="00853FE4">
        <w:rPr>
          <w:color w:val="000000" w:themeColor="text1"/>
        </w:rPr>
        <w:t>Risk of Legacy Data Quality Contamination</w:t>
      </w:r>
    </w:p>
    <w:p w14:paraId="5CCACB98" w14:textId="77777777" w:rsidR="007D75A8" w:rsidRPr="00853FE4" w:rsidRDefault="00000000">
      <w:pPr>
        <w:rPr>
          <w:color w:val="000000" w:themeColor="text1"/>
        </w:rPr>
      </w:pPr>
      <w:r w:rsidRPr="00853FE4">
        <w:rPr>
          <w:color w:val="000000" w:themeColor="text1"/>
        </w:rPr>
        <w:t>A more subtle but equally significant risk is that data quality deficiencies embedded in legacy systems are propagated into the modernized data products that depend on them. The Anti-Corruption Layer pattern translates between legacy schemas and standardized data product interfaces, but it does not, in itself, improve the quality of the underlying data. A legacy catch accounting database that contains inconsistent species codes, missing vessel identifiers, or duplicate trip records will produce a data product that faithfully reproduces those same deficiencies. If consumers, accustomed to treating data products as trustworthy sources, make regulatory or scientific decisions based on contaminated data, the credibility of the entire mesh is undermined.</w:t>
      </w:r>
    </w:p>
    <w:p w14:paraId="6AF15FC1" w14:textId="77777777" w:rsidR="007D75A8" w:rsidRPr="00853FE4" w:rsidRDefault="00000000">
      <w:pPr>
        <w:rPr>
          <w:color w:val="000000" w:themeColor="text1"/>
        </w:rPr>
      </w:pPr>
      <w:r w:rsidRPr="00853FE4">
        <w:rPr>
          <w:color w:val="000000" w:themeColor="text1"/>
        </w:rPr>
        <w:t xml:space="preserve">The EM data product illustrates this risk. If the legacy observer database against which EM trip reports are reconciled contains systematic errors in species identification, and if the EM data </w:t>
      </w:r>
      <w:r w:rsidRPr="00853FE4">
        <w:rPr>
          <w:color w:val="000000" w:themeColor="text1"/>
        </w:rPr>
        <w:lastRenderedPageBreak/>
        <w:t>product's data contract specifies a species identification accuracy SLO without acknowledging those legacy errors, the data product is publishing a quality guarantee it cannot meet. Consumers who rely on that SLO for stock assessment model inputs may reach incorrect conclusions about stock status, with real regulatory consequences.</w:t>
      </w:r>
    </w:p>
    <w:p w14:paraId="48F371A3" w14:textId="77777777" w:rsidR="007D75A8" w:rsidRPr="00853FE4" w:rsidRDefault="007D75A8">
      <w:pPr>
        <w:pBdr>
          <w:top w:val="nil"/>
          <w:left w:val="nil"/>
          <w:bottom w:val="nil"/>
          <w:right w:val="nil"/>
          <w:between w:val="nil"/>
        </w:pBdr>
        <w:rPr>
          <w:color w:val="000000" w:themeColor="text1"/>
        </w:rPr>
      </w:pPr>
    </w:p>
    <w:p w14:paraId="3E5B6417" w14:textId="77777777" w:rsidR="007D75A8" w:rsidRPr="00853FE4" w:rsidRDefault="00000000">
      <w:pPr>
        <w:rPr>
          <w:color w:val="000000" w:themeColor="text1"/>
        </w:rPr>
      </w:pPr>
      <w:r w:rsidRPr="00853FE4">
        <w:rPr>
          <w:color w:val="000000" w:themeColor="text1"/>
        </w:rPr>
        <w:t>The mitigation operates at two levels. First, the data contract for any data product that depends on a legacy backend must explicitly document known quality limitations, including the provenance of the underlying data, the quality control procedures applied, and any known gaps or inconsistencies (Perrin &amp; Broda, 2024). This transparency allows consumers to make informed decisions about fitness for use. Second, the Parallel Run phase must include explicit data quality comparison, not merely equivalence of computational outputs. Dataplex data quality rules can be applied to both the legacy and modernized data pipelines, surfacing quality discrepancies for remediation before the legacy system is decommissioned.</w:t>
      </w:r>
    </w:p>
    <w:p w14:paraId="531B9315" w14:textId="77777777" w:rsidR="007D75A8" w:rsidRPr="00853FE4" w:rsidRDefault="00000000">
      <w:pPr>
        <w:pStyle w:val="Heading3"/>
        <w:rPr>
          <w:color w:val="000000" w:themeColor="text1"/>
        </w:rPr>
      </w:pPr>
      <w:bookmarkStart w:id="91" w:name="_umy1j7ytdhkl" w:colFirst="0" w:colLast="0"/>
      <w:bookmarkEnd w:id="91"/>
      <w:r w:rsidRPr="00853FE4">
        <w:rPr>
          <w:color w:val="000000" w:themeColor="text1"/>
        </w:rPr>
        <w:t>Commitment to Eventual Decommissioning</w:t>
      </w:r>
    </w:p>
    <w:p w14:paraId="63E66677" w14:textId="77777777" w:rsidR="007D75A8" w:rsidRPr="00853FE4" w:rsidRDefault="00000000">
      <w:pPr>
        <w:rPr>
          <w:color w:val="000000" w:themeColor="text1"/>
        </w:rPr>
      </w:pPr>
      <w:r w:rsidRPr="00853FE4">
        <w:rPr>
          <w:color w:val="000000" w:themeColor="text1"/>
        </w:rPr>
        <w:t>A final risk concerns the sustainability of dual-run architectures. Organizations that begin migration with the intention of eventual legacy decommissioning may, over time, allow the dual-run state to persist indefinitely. The legacy system, having survived the initial migration push, becomes a permanent operational fixture, consuming resources and fragmenting the data landscape in precisely the manner the mesh was designed to resolve. When a domain team is already resource-constrained, the temptation to defer decommissioning, and then defer it again, in favor of more immediately visible priorities is strong.</w:t>
      </w:r>
    </w:p>
    <w:p w14:paraId="18F5DB45" w14:textId="77777777" w:rsidR="007D75A8" w:rsidRPr="00853FE4" w:rsidRDefault="007D75A8">
      <w:pPr>
        <w:pBdr>
          <w:top w:val="nil"/>
          <w:left w:val="nil"/>
          <w:bottom w:val="nil"/>
          <w:right w:val="nil"/>
          <w:between w:val="nil"/>
        </w:pBdr>
        <w:rPr>
          <w:color w:val="000000" w:themeColor="text1"/>
        </w:rPr>
      </w:pPr>
    </w:p>
    <w:p w14:paraId="2AE99918" w14:textId="77777777" w:rsidR="007D75A8" w:rsidRPr="00853FE4" w:rsidRDefault="00000000">
      <w:pPr>
        <w:rPr>
          <w:color w:val="000000" w:themeColor="text1"/>
        </w:rPr>
      </w:pPr>
      <w:r w:rsidRPr="00853FE4">
        <w:rPr>
          <w:color w:val="000000" w:themeColor="text1"/>
        </w:rPr>
        <w:t>Mitigation for this risk is straightforward in principle but requires institutional discipline to execute. Every legacy system designated for migration must have a documented decommissioning plan with explicit success criteria, typically defined as a completed Parallel Run demonstrating equivalence across a full operational cycle, approved by the Data Governance Council. The plan must include a committed decommissioning date, and platform funding must be structured to sunset the dual-run costs rather than accommodate them indefinitely. Decommissioning must be treated as a migration milestone of equal importance to data product publication, not as an optional cleanup activity.</w:t>
      </w:r>
    </w:p>
    <w:p w14:paraId="5EA2FBF1" w14:textId="77777777" w:rsidR="007D75A8" w:rsidRPr="00853FE4" w:rsidRDefault="007D75A8">
      <w:pPr>
        <w:pBdr>
          <w:top w:val="nil"/>
          <w:left w:val="nil"/>
          <w:bottom w:val="nil"/>
          <w:right w:val="nil"/>
          <w:between w:val="nil"/>
        </w:pBdr>
        <w:rPr>
          <w:color w:val="000000" w:themeColor="text1"/>
        </w:rPr>
      </w:pPr>
    </w:p>
    <w:p w14:paraId="2DA83EAB" w14:textId="77777777" w:rsidR="007D75A8" w:rsidRPr="00853FE4" w:rsidRDefault="00000000">
      <w:pPr>
        <w:rPr>
          <w:color w:val="000000" w:themeColor="text1"/>
        </w:rPr>
      </w:pPr>
      <w:r w:rsidRPr="00853FE4">
        <w:rPr>
          <w:color w:val="000000" w:themeColor="text1"/>
        </w:rPr>
        <w:t>In summary, the evolutionary migration patterns proposed in Section 6.2 represent a necessary and prudent approach to legacy integration, but they are not cost-free. The dual-run operational burden, the risk of investing in low-value integrations, the risk of legacy data quality contamination, and the institutional discipline required to complete decommissioning are</w:t>
      </w:r>
    </w:p>
    <w:p w14:paraId="2A78F21A" w14:textId="77777777" w:rsidR="007D75A8" w:rsidRPr="00853FE4" w:rsidRDefault="00000000">
      <w:pPr>
        <w:rPr>
          <w:color w:val="000000" w:themeColor="text1"/>
        </w:rPr>
      </w:pPr>
      <w:r w:rsidRPr="00853FE4">
        <w:rPr>
          <w:color w:val="000000" w:themeColor="text1"/>
        </w:rPr>
        <w:lastRenderedPageBreak/>
        <w:t>genuine challenges. Each is manageable through the combination of value-first prioritization, transparent data contracts, quality-focused Parallel Run validation, and documented decommissioning commitments, but managing them requires sustained organizational attention. The following subsection examines a risk that, if unaddressed, undermines the entire rationale for the data mesh: the possibility that domains, empowered with autonomy, build not a connected mesh but a collection of disconnected silos.</w:t>
      </w:r>
    </w:p>
    <w:p w14:paraId="7CEC89F6" w14:textId="77777777" w:rsidR="007D75A8" w:rsidRPr="00853FE4" w:rsidRDefault="00000000">
      <w:pPr>
        <w:pStyle w:val="Heading2"/>
        <w:rPr>
          <w:color w:val="000000" w:themeColor="text1"/>
        </w:rPr>
      </w:pPr>
      <w:bookmarkStart w:id="92" w:name="_172khovu2zyb" w:colFirst="0" w:colLast="0"/>
      <w:bookmarkEnd w:id="92"/>
      <w:r w:rsidRPr="00853FE4">
        <w:rPr>
          <w:color w:val="000000" w:themeColor="text1"/>
        </w:rPr>
        <w:t>7.5 Risk of Fragmentation Without Integration</w:t>
      </w:r>
    </w:p>
    <w:p w14:paraId="19759D41" w14:textId="77777777" w:rsidR="007D75A8" w:rsidRPr="00853FE4" w:rsidRDefault="00000000">
      <w:pPr>
        <w:rPr>
          <w:color w:val="000000" w:themeColor="text1"/>
        </w:rPr>
      </w:pPr>
      <w:r w:rsidRPr="00853FE4">
        <w:rPr>
          <w:color w:val="000000" w:themeColor="text1"/>
        </w:rPr>
        <w:t>Data mesh is premised on a paradox: it decomposes data ownership into autonomous domains in order to achieve greater enterprise-wide integration than centralized architectures could deliver. The resolution of this paradox depends on the discovery, interoperability, and governance mechanisms that connect domain data products to one another. Without these mechanisms, domain autonomy degenerates into domain isolation, and the mesh architecture amplifies the very fragmentation it was designed to resolve. This risk, that the data mesh becomes a collection of disconnected, independently managed silos rather than a connected, interoperable ecosystem, is the single most fundamental threat to the architecture's value proposition.</w:t>
      </w:r>
    </w:p>
    <w:p w14:paraId="501E75E4" w14:textId="77777777" w:rsidR="007D75A8" w:rsidRPr="00853FE4" w:rsidRDefault="00000000">
      <w:pPr>
        <w:pStyle w:val="Heading3"/>
        <w:rPr>
          <w:color w:val="000000" w:themeColor="text1"/>
        </w:rPr>
      </w:pPr>
      <w:bookmarkStart w:id="93" w:name="_ntzf496m2764" w:colFirst="0" w:colLast="0"/>
      <w:bookmarkEnd w:id="93"/>
      <w:r w:rsidRPr="00853FE4">
        <w:rPr>
          <w:color w:val="000000" w:themeColor="text1"/>
        </w:rPr>
        <w:t>How Fragmentation Emerges</w:t>
      </w:r>
    </w:p>
    <w:p w14:paraId="3B9D9D45" w14:textId="77777777" w:rsidR="007D75A8" w:rsidRPr="00853FE4" w:rsidRDefault="00000000">
      <w:pPr>
        <w:rPr>
          <w:color w:val="000000" w:themeColor="text1"/>
        </w:rPr>
      </w:pPr>
      <w:r w:rsidRPr="00853FE4">
        <w:rPr>
          <w:color w:val="000000" w:themeColor="text1"/>
        </w:rPr>
        <w:t>The path from data mesh to fragmented silos is not a catastrophic failure but a gradual erosion of connectivity. It begins with domains exercising their autonomy in entirely legitimate ways: the Fishery Monitoring domain publishes the EM data product with a schema optimized for observer program reconciliation workflows, while the Stock Assessment domain independently develops its own catch composition data product with a different schema, different temporal granularity, and different species coding conventions. Each domain is fulfilling its data product ownership responsibilities, but the two products are not interoperable. The Stock Assessment domain cannot easily consume Fishery Monitoring data, and vice versa, because no governance mechanism required the domains to align on shared identifiers, such as a common species taxonomy or a consistent trip identifier format.</w:t>
      </w:r>
    </w:p>
    <w:p w14:paraId="28A73A0F" w14:textId="77777777" w:rsidR="007D75A8" w:rsidRPr="00853FE4" w:rsidRDefault="007D75A8">
      <w:pPr>
        <w:pBdr>
          <w:top w:val="nil"/>
          <w:left w:val="nil"/>
          <w:bottom w:val="nil"/>
          <w:right w:val="nil"/>
          <w:between w:val="nil"/>
        </w:pBdr>
        <w:rPr>
          <w:color w:val="000000" w:themeColor="text1"/>
        </w:rPr>
      </w:pPr>
    </w:p>
    <w:p w14:paraId="326B0AB2" w14:textId="77777777" w:rsidR="007D75A8" w:rsidRPr="00853FE4" w:rsidRDefault="00000000">
      <w:pPr>
        <w:rPr>
          <w:color w:val="000000" w:themeColor="text1"/>
        </w:rPr>
      </w:pPr>
      <w:r w:rsidRPr="00853FE4">
        <w:rPr>
          <w:color w:val="000000" w:themeColor="text1"/>
        </w:rPr>
        <w:t>This fragmentation scenario is not hypothetical. It is precisely the outcome that Conway's Law predicts when organizational communication is absent across domain boundaries (Conway, 1968). If the DPOs for the Fishery Monitoring and Stock Assessment domains do not regularly coordinate, and if the Data Governance Council does not enforce interoperability standards, the resulting data products will naturally diverge. Each domain optimizes for its own consumers and its own operational priorities. The architecture, absent integration mechanisms, provides no countervailing force.</w:t>
      </w:r>
    </w:p>
    <w:p w14:paraId="4F861FD0" w14:textId="77777777" w:rsidR="007D75A8" w:rsidRPr="00853FE4" w:rsidRDefault="00000000">
      <w:pPr>
        <w:pStyle w:val="Heading3"/>
        <w:rPr>
          <w:color w:val="000000" w:themeColor="text1"/>
        </w:rPr>
      </w:pPr>
      <w:bookmarkStart w:id="94" w:name="_g7ibzafv44ex" w:colFirst="0" w:colLast="0"/>
      <w:bookmarkEnd w:id="94"/>
      <w:r w:rsidRPr="00853FE4">
        <w:rPr>
          <w:color w:val="000000" w:themeColor="text1"/>
        </w:rPr>
        <w:lastRenderedPageBreak/>
        <w:t>The Role of Discovery in Preventing Fragmentation</w:t>
      </w:r>
    </w:p>
    <w:p w14:paraId="677F3D89" w14:textId="77777777" w:rsidR="007D75A8" w:rsidRPr="00853FE4" w:rsidRDefault="00000000">
      <w:pPr>
        <w:rPr>
          <w:color w:val="000000" w:themeColor="text1"/>
        </w:rPr>
      </w:pPr>
      <w:r w:rsidRPr="00853FE4">
        <w:rPr>
          <w:color w:val="000000" w:themeColor="text1"/>
        </w:rPr>
        <w:t>The primary architectural defense against fragmentation is mandated data product discovery. The self-serve platform described in Section 5.3 requires every data product to be registered in Data Catalog with a standardized metadata profile that includes schema documentation, quality SLOs, data contract terms, ownership contact information, and consumption guidance. This registration is not optional. The Data Governance Council, through the minimum participation requirements established in Section 5.4, must enforce universal Data Catalog registration as a condition of platform access (Perrin &amp; Broda, 2024).</w:t>
      </w:r>
    </w:p>
    <w:p w14:paraId="17689BD8" w14:textId="77777777" w:rsidR="007D75A8" w:rsidRPr="00853FE4" w:rsidRDefault="007D75A8">
      <w:pPr>
        <w:pBdr>
          <w:top w:val="nil"/>
          <w:left w:val="nil"/>
          <w:bottom w:val="nil"/>
          <w:right w:val="nil"/>
          <w:between w:val="nil"/>
        </w:pBdr>
        <w:rPr>
          <w:color w:val="000000" w:themeColor="text1"/>
        </w:rPr>
      </w:pPr>
    </w:p>
    <w:p w14:paraId="232F769A" w14:textId="77777777" w:rsidR="007D75A8" w:rsidRPr="00853FE4" w:rsidRDefault="00000000">
      <w:pPr>
        <w:rPr>
          <w:color w:val="000000" w:themeColor="text1"/>
        </w:rPr>
      </w:pPr>
      <w:r w:rsidRPr="00853FE4">
        <w:rPr>
          <w:color w:val="000000" w:themeColor="text1"/>
        </w:rPr>
        <w:t>Discovery alone, however, is insufficient. A Stock Assessment scientist who discovers the EM data product in Data Catalog, but who cannot reconcile its schema with the stock assessment model's expected input format, has not achieved interoperability. Discovery must be paired with standardized data product contracts that define, at minimum, shared identifier conventions, temporal and spatial reference systems, and data quality semantics. These contracts are the integration fabric of the mesh. The Data Governance Council, as the only body with cross-domain authority, must establish and maintain these interoperability standards, and the platform must validate contract compliance automatically at data product registration time.</w:t>
      </w:r>
    </w:p>
    <w:p w14:paraId="6EE5B035" w14:textId="77777777" w:rsidR="007D75A8" w:rsidRPr="00853FE4" w:rsidRDefault="00000000">
      <w:pPr>
        <w:pStyle w:val="Heading3"/>
        <w:rPr>
          <w:color w:val="000000" w:themeColor="text1"/>
        </w:rPr>
      </w:pPr>
      <w:bookmarkStart w:id="95" w:name="_r0x5wgksu1rd" w:colFirst="0" w:colLast="0"/>
      <w:bookmarkEnd w:id="95"/>
      <w:r w:rsidRPr="00853FE4">
        <w:rPr>
          <w:color w:val="000000" w:themeColor="text1"/>
        </w:rPr>
        <w:t>Cross-Domain Data Products as Integration Exemplars</w:t>
      </w:r>
    </w:p>
    <w:p w14:paraId="7CA5DF48" w14:textId="77777777" w:rsidR="007D75A8" w:rsidRPr="00853FE4" w:rsidRDefault="00000000">
      <w:pPr>
        <w:rPr>
          <w:color w:val="000000" w:themeColor="text1"/>
        </w:rPr>
      </w:pPr>
      <w:r w:rsidRPr="00853FE4">
        <w:rPr>
          <w:color w:val="000000" w:themeColor="text1"/>
        </w:rPr>
        <w:t>A further mitigation, complementary to governance enforcement, is the deliberate development of cross-domain data products that demonstrate and incentivize integration. The EM data product is, by design, a cross-domain asset: it serves the Stock Assessment domain (aggregated catch composition), the Protected Species domain (bycatch interaction events), the Enforcement domain (vessel-level compliance checks), and the Fishery Monitoring domain itself (observer program reconciliation). Each of these consumption patterns requires the EM data product to expose data through standardized, well-documented interfaces that are compatible with each consumer domain's analytical workflows.</w:t>
      </w:r>
    </w:p>
    <w:p w14:paraId="0273BAEE" w14:textId="77777777" w:rsidR="007D75A8" w:rsidRPr="00853FE4" w:rsidRDefault="007D75A8">
      <w:pPr>
        <w:pBdr>
          <w:top w:val="nil"/>
          <w:left w:val="nil"/>
          <w:bottom w:val="nil"/>
          <w:right w:val="nil"/>
          <w:between w:val="nil"/>
        </w:pBdr>
        <w:rPr>
          <w:color w:val="000000" w:themeColor="text1"/>
        </w:rPr>
      </w:pPr>
    </w:p>
    <w:p w14:paraId="2CD6F3FC" w14:textId="77777777" w:rsidR="007D75A8" w:rsidRPr="00853FE4" w:rsidRDefault="00000000">
      <w:pPr>
        <w:rPr>
          <w:color w:val="000000" w:themeColor="text1"/>
        </w:rPr>
      </w:pPr>
      <w:r w:rsidRPr="00853FE4">
        <w:rPr>
          <w:color w:val="000000" w:themeColor="text1"/>
        </w:rPr>
        <w:t>When cross-domain data products become the exemplars rather than the exceptions, they establish integration as the normal operating mode of the mesh. Domain DPOs who observe the EM data product generating measurable value across four distinct domains are more likely to design their own data products for cross-domain consumption from the outset, rather than optimizing narrowly for a single consumer. The platform must support this cultural shift by making cross-domain consumption metrics visible, for example, through Cloud Monitoring dashboards that display, per data product, the number of distinct consumer domains, query volume by domain, and consumer satisfaction ratings.</w:t>
      </w:r>
    </w:p>
    <w:p w14:paraId="4D5AD4E1" w14:textId="77777777" w:rsidR="007D75A8" w:rsidRPr="00853FE4" w:rsidRDefault="00000000">
      <w:pPr>
        <w:pStyle w:val="Heading3"/>
        <w:rPr>
          <w:color w:val="000000" w:themeColor="text1"/>
        </w:rPr>
      </w:pPr>
      <w:bookmarkStart w:id="96" w:name="_t16pcwm83vrk" w:colFirst="0" w:colLast="0"/>
      <w:bookmarkEnd w:id="96"/>
      <w:r w:rsidRPr="00853FE4">
        <w:rPr>
          <w:color w:val="000000" w:themeColor="text1"/>
        </w:rPr>
        <w:lastRenderedPageBreak/>
        <w:t>When Fragmentation Persists</w:t>
      </w:r>
    </w:p>
    <w:p w14:paraId="30A58D69" w14:textId="77777777" w:rsidR="007D75A8" w:rsidRPr="00853FE4" w:rsidRDefault="00000000">
      <w:pPr>
        <w:rPr>
          <w:color w:val="000000" w:themeColor="text1"/>
        </w:rPr>
      </w:pPr>
      <w:r w:rsidRPr="00853FE4">
        <w:rPr>
          <w:color w:val="000000" w:themeColor="text1"/>
        </w:rPr>
        <w:t>Despite discovery mandates and cross-domain exemplars, some degree of fragmentation may persist. Domains with highly specialized data products serving narrow scientific communities may legitimately have limited cross-domain consumption potential. A habitat mapping data product used exclusively by the Habitat Conservation domain, for instance, may not warrant the same interoperability investment as the EM data product. The goal is not to eliminate specialization but to ensure that fragmentation is the result of deliberate, transparent decisions rather than the default consequence of absent governance.</w:t>
      </w:r>
    </w:p>
    <w:p w14:paraId="5A2ECE88" w14:textId="77777777" w:rsidR="007D75A8" w:rsidRPr="00853FE4" w:rsidRDefault="007D75A8">
      <w:pPr>
        <w:pBdr>
          <w:top w:val="nil"/>
          <w:left w:val="nil"/>
          <w:bottom w:val="nil"/>
          <w:right w:val="nil"/>
          <w:between w:val="nil"/>
        </w:pBdr>
        <w:rPr>
          <w:color w:val="000000" w:themeColor="text1"/>
        </w:rPr>
      </w:pPr>
    </w:p>
    <w:p w14:paraId="50B62BFE" w14:textId="77777777" w:rsidR="007D75A8" w:rsidRPr="00853FE4" w:rsidRDefault="00000000">
      <w:pPr>
        <w:rPr>
          <w:color w:val="000000" w:themeColor="text1"/>
        </w:rPr>
      </w:pPr>
      <w:r w:rsidRPr="00853FE4">
        <w:rPr>
          <w:color w:val="000000" w:themeColor="text1"/>
        </w:rPr>
        <w:t>The Data Governance Council must maintain a register of domain data products and periodically assess whether any product's isolation represents a missed integration opportunity that warrants intervention. This assessment should consider the product's potential value to other domains, the cost of establishing interoperability, and the domain's capacity to support additional consumers. When integration opportunities are identified, the Council can direct platform engineering resources to develop bridging data products, such as a species taxonomy alignment service that translates between the coding conventions of different domains, rather than mandating that all domains adopt a single coding standard.</w:t>
      </w:r>
    </w:p>
    <w:p w14:paraId="77C2A163" w14:textId="77777777" w:rsidR="007D75A8" w:rsidRPr="00853FE4" w:rsidRDefault="007D75A8">
      <w:pPr>
        <w:pBdr>
          <w:top w:val="nil"/>
          <w:left w:val="nil"/>
          <w:bottom w:val="nil"/>
          <w:right w:val="nil"/>
          <w:between w:val="nil"/>
        </w:pBdr>
        <w:rPr>
          <w:color w:val="000000" w:themeColor="text1"/>
        </w:rPr>
      </w:pPr>
    </w:p>
    <w:p w14:paraId="00B6454F" w14:textId="77777777" w:rsidR="007D75A8" w:rsidRPr="00853FE4" w:rsidRDefault="00000000">
      <w:pPr>
        <w:rPr>
          <w:color w:val="000000" w:themeColor="text1"/>
        </w:rPr>
      </w:pPr>
      <w:r w:rsidRPr="00853FE4">
        <w:rPr>
          <w:color w:val="000000" w:themeColor="text1"/>
        </w:rPr>
        <w:t>In summary, the risk of fragmentation without integration is the mirror image of the data mesh's greatest promise. The architecture replaces centralized control with federated coordination, and the effectiveness of that coordination determines whether the result is a mesh or a collection of silos. Universal data product discovery, standardized cross-domain data contracts, exemplar cross-domain data products such as EM, and active Data Governance Council oversight provide the integration mechanisms necessary to realize the mesh's connective potential. The final subsection addresses the dimension upon which all of these mitigation strategies ultimately depend: the organizational change management capability required to execute them.</w:t>
      </w:r>
    </w:p>
    <w:p w14:paraId="6B8DA237" w14:textId="77777777" w:rsidR="007D75A8" w:rsidRPr="00853FE4" w:rsidRDefault="00000000">
      <w:pPr>
        <w:pStyle w:val="Heading2"/>
        <w:rPr>
          <w:color w:val="000000" w:themeColor="text1"/>
        </w:rPr>
      </w:pPr>
      <w:bookmarkStart w:id="97" w:name="_8dlcxgjc4atq" w:colFirst="0" w:colLast="0"/>
      <w:bookmarkEnd w:id="97"/>
      <w:r w:rsidRPr="00853FE4">
        <w:rPr>
          <w:color w:val="000000" w:themeColor="text1"/>
        </w:rPr>
        <w:t>7.6 Change Management as a Distinct Challenge</w:t>
      </w:r>
    </w:p>
    <w:p w14:paraId="339512DD" w14:textId="77777777" w:rsidR="007D75A8" w:rsidRPr="00853FE4" w:rsidRDefault="00000000">
      <w:pPr>
        <w:rPr>
          <w:color w:val="000000" w:themeColor="text1"/>
        </w:rPr>
      </w:pPr>
      <w:r w:rsidRPr="00853FE4">
        <w:rPr>
          <w:color w:val="000000" w:themeColor="text1"/>
        </w:rPr>
        <w:t xml:space="preserve">As Peter Drucker famously observed, "Culture eats strategy for breakfast." Nowhere is this maxim more pertinent than in the adoption of a data mesh architecture. Each of the preceding subsections has identified a specific tradeoff or risk inherent in the proposed data mesh architecture and proposed mitigation strategies grounded in the architectural patterns and organizational frameworks developed in Sections 5 and 6. Collectively, these mitigations, executive sponsorship, stakeholder engagement, role clarity through the DPO model, demonstrated early wins via pilot domains, governance mandates, transparent data contracts, and institutional decommissioning discipline, are necessary but individually insufficient. Their </w:t>
      </w:r>
      <w:r w:rsidRPr="00853FE4">
        <w:rPr>
          <w:color w:val="000000" w:themeColor="text1"/>
        </w:rPr>
        <w:lastRenderedPageBreak/>
        <w:t>effectiveness depends on a broader organizational capability that is frequently underestimated in technology modernization initiatives: sustained, professional change management. As Perrin and Broda (2024) observed from their extensive implementation experience, "Successful Data Mesh implementation relies 20% on technology and 80% on winning over people."</w:t>
      </w:r>
    </w:p>
    <w:p w14:paraId="79018977" w14:textId="77777777" w:rsidR="007D75A8" w:rsidRPr="00853FE4" w:rsidRDefault="00000000">
      <w:pPr>
        <w:pStyle w:val="Heading3"/>
        <w:rPr>
          <w:color w:val="000000" w:themeColor="text1"/>
        </w:rPr>
      </w:pPr>
      <w:bookmarkStart w:id="98" w:name="_joqoiuwey4e3" w:colFirst="0" w:colLast="0"/>
      <w:bookmarkEnd w:id="98"/>
      <w:r w:rsidRPr="00853FE4">
        <w:rPr>
          <w:color w:val="000000" w:themeColor="text1"/>
        </w:rPr>
        <w:t>Change Management as the Binding Constraint</w:t>
      </w:r>
    </w:p>
    <w:p w14:paraId="4B038A9F" w14:textId="77777777" w:rsidR="007D75A8" w:rsidRPr="00853FE4" w:rsidRDefault="00000000">
      <w:pPr>
        <w:rPr>
          <w:color w:val="000000" w:themeColor="text1"/>
        </w:rPr>
      </w:pPr>
      <w:r w:rsidRPr="00853FE4">
        <w:rPr>
          <w:color w:val="000000" w:themeColor="text1"/>
        </w:rPr>
        <w:t>The data mesh transformation described in this paper touches every dimension of NOAA Fisheries' data ecosystem: who owns data, how data is published, how infrastructure is funded, how compliance is enforced, how legacy systems are retired, and how cross-domain coordination occurs. Each of these dimensions involves shifts in organizational structure, role definitions, budget authority, performance evaluation criteria, and professional incentives. These changes are not sequential. They must occur simultaneously, or in tight coordination, because the architecture's components are interdependent. The self-serve platform cannot succeed without domain DPOs, who cannot be effective without training, who cannot deliver value without platform maturity, who cannot sustain adoption without governance mandates, who cannot be enforced without Data Governance Council authority, and so on.</w:t>
      </w:r>
    </w:p>
    <w:p w14:paraId="61E9E148" w14:textId="77777777" w:rsidR="007D75A8" w:rsidRPr="00853FE4" w:rsidRDefault="007D75A8">
      <w:pPr>
        <w:pBdr>
          <w:top w:val="nil"/>
          <w:left w:val="nil"/>
          <w:bottom w:val="nil"/>
          <w:right w:val="nil"/>
          <w:between w:val="nil"/>
        </w:pBdr>
        <w:rPr>
          <w:color w:val="000000" w:themeColor="text1"/>
        </w:rPr>
      </w:pPr>
    </w:p>
    <w:p w14:paraId="64747A18" w14:textId="77777777" w:rsidR="007D75A8" w:rsidRPr="00853FE4" w:rsidRDefault="00000000">
      <w:pPr>
        <w:rPr>
          <w:color w:val="000000" w:themeColor="text1"/>
        </w:rPr>
      </w:pPr>
      <w:r w:rsidRPr="00853FE4">
        <w:rPr>
          <w:color w:val="000000" w:themeColor="text1"/>
        </w:rPr>
        <w:t>This interdependence makes data mesh adoption categorically different from a technology deployment. Deploying a new database or a new analytics platform, while operationally significant, does not fundamentally alter who in the organization is responsible for data quality, discoverability, and cross-domain availability. Data mesh does. It redistributes accountability from a centralized data management office to dozens of domain teams and their DPOs. This redistribution is the transformation's central achievement and its central risk.</w:t>
      </w:r>
    </w:p>
    <w:p w14:paraId="637CDCFC" w14:textId="77777777" w:rsidR="007D75A8" w:rsidRPr="00853FE4" w:rsidRDefault="007D75A8">
      <w:pPr>
        <w:pBdr>
          <w:top w:val="nil"/>
          <w:left w:val="nil"/>
          <w:bottom w:val="nil"/>
          <w:right w:val="nil"/>
          <w:between w:val="nil"/>
        </w:pBdr>
        <w:rPr>
          <w:color w:val="000000" w:themeColor="text1"/>
        </w:rPr>
      </w:pPr>
    </w:p>
    <w:p w14:paraId="48368976" w14:textId="77777777" w:rsidR="007D75A8" w:rsidRPr="00853FE4" w:rsidRDefault="00000000">
      <w:pPr>
        <w:rPr>
          <w:color w:val="000000" w:themeColor="text1"/>
        </w:rPr>
      </w:pPr>
      <w:r w:rsidRPr="00853FE4">
        <w:rPr>
          <w:color w:val="000000" w:themeColor="text1"/>
        </w:rPr>
        <w:t>Gafoor et al. (2022) make the case explicitly: data mesh adoption is primarily an organizational and operational transformation, and organizations that treat it as a technology initiative, staffing it exclusively with engineers and data architects while delegating change management to ad-hoc communications, are unlikely to succeed. Dehghani (2022) classified data mesh from its inception as "a decentralized sociotechnical approach," a framing that recognizes "the interactions between people and the technical architecture and solutions in complex organizations." The literature on large-scale organizational change in public sector contexts reinforces this observation. Kotter (1996) identifies the absence of a sufficiently powerful guiding coalition, a group with the authority to drive cross-functional change, as the primary reason transformation initiatives stall. The Data Governance Council proposed in Section 5.4 is designed to serve as this guiding coalition, but its effectiveness depends on whether its members are senior enough to commit resources, resolve conflicts, and protect the initiative from competing organizational priorities.</w:t>
      </w:r>
    </w:p>
    <w:p w14:paraId="6F444C81" w14:textId="77777777" w:rsidR="007D75A8" w:rsidRPr="00853FE4" w:rsidRDefault="00000000">
      <w:pPr>
        <w:pStyle w:val="Heading3"/>
        <w:rPr>
          <w:color w:val="000000" w:themeColor="text1"/>
        </w:rPr>
      </w:pPr>
      <w:bookmarkStart w:id="99" w:name="_66qy0cwfsypl" w:colFirst="0" w:colLast="0"/>
      <w:bookmarkEnd w:id="99"/>
      <w:r w:rsidRPr="00853FE4">
        <w:rPr>
          <w:color w:val="000000" w:themeColor="text1"/>
        </w:rPr>
        <w:lastRenderedPageBreak/>
        <w:t>The Distinct Requirements of Change Management in the Federal Context</w:t>
      </w:r>
    </w:p>
    <w:p w14:paraId="2A37EC7F" w14:textId="77777777" w:rsidR="007D75A8" w:rsidRPr="00853FE4" w:rsidRDefault="00000000">
      <w:pPr>
        <w:rPr>
          <w:color w:val="000000" w:themeColor="text1"/>
        </w:rPr>
      </w:pPr>
      <w:r w:rsidRPr="00853FE4">
        <w:rPr>
          <w:color w:val="000000" w:themeColor="text1"/>
        </w:rPr>
        <w:t>Change management for a data mesh within NOAA Fisheries must account for constraints that the private sector literature does not fully address. Federal salary structures and hiring pipelines make it difficult to recruit experienced platform engineers and data product managers through standard competitive service hiring. Federal budgeting cycles, governed by annual appropriations, make it difficult to sustain multi-year investments when funding must be re-justified each fiscal year. Federal leadership transitions, which occur with the change of administrations, introduce the risk that a championed initiative loses its executive sponsor at a critical juncture. These constraints are not arguments against pursuing the architecture; they are realities that the change management strategy must explicitly address.</w:t>
      </w:r>
    </w:p>
    <w:p w14:paraId="3E7892BD" w14:textId="77777777" w:rsidR="007D75A8" w:rsidRPr="00853FE4" w:rsidRDefault="007D75A8">
      <w:pPr>
        <w:pBdr>
          <w:top w:val="nil"/>
          <w:left w:val="nil"/>
          <w:bottom w:val="nil"/>
          <w:right w:val="nil"/>
          <w:between w:val="nil"/>
        </w:pBdr>
        <w:rPr>
          <w:color w:val="000000" w:themeColor="text1"/>
        </w:rPr>
      </w:pPr>
    </w:p>
    <w:p w14:paraId="32A224E4" w14:textId="77777777" w:rsidR="007D75A8" w:rsidRPr="00853FE4" w:rsidRDefault="00000000">
      <w:pPr>
        <w:rPr>
          <w:color w:val="000000" w:themeColor="text1"/>
        </w:rPr>
      </w:pPr>
      <w:r w:rsidRPr="00853FE4">
        <w:rPr>
          <w:color w:val="000000" w:themeColor="text1"/>
        </w:rPr>
        <w:t>The mitigation is twofold. First, the change management effort must be formally resourced, not as a collateral duty assigned to a program manager, but as a dedicated function with a defined budget, staff, and deliverables. This function must produce a comprehensive change management plan that addresses stakeholder analysis, communication strategy, training curriculum development, resistance management, milestone celebrations, and post-implementation support. Second, the Data Governance Council must include senior career executives, including the Deputy Assistant Administrator for Science and Technology and the Chief Information Officer, whose continuity across political administrations provides institutional memory and sustained sponsorship. Political appointees, while valuable as visible champions, cannot be the sole repository of initiative sponsorship.</w:t>
      </w:r>
    </w:p>
    <w:p w14:paraId="116E1C91" w14:textId="77777777" w:rsidR="007D75A8" w:rsidRPr="00853FE4" w:rsidRDefault="00000000">
      <w:pPr>
        <w:pStyle w:val="Heading3"/>
        <w:rPr>
          <w:color w:val="000000" w:themeColor="text1"/>
        </w:rPr>
      </w:pPr>
      <w:bookmarkStart w:id="100" w:name="_89me76r9xem9" w:colFirst="0" w:colLast="0"/>
      <w:bookmarkEnd w:id="100"/>
      <w:r w:rsidRPr="00853FE4">
        <w:rPr>
          <w:color w:val="000000" w:themeColor="text1"/>
        </w:rPr>
        <w:t>Structuring Change Management for a Multi-Year Horizon</w:t>
      </w:r>
    </w:p>
    <w:p w14:paraId="484AA311" w14:textId="77777777" w:rsidR="007D75A8" w:rsidRPr="00853FE4" w:rsidRDefault="00000000">
      <w:pPr>
        <w:rPr>
          <w:color w:val="000000" w:themeColor="text1"/>
        </w:rPr>
      </w:pPr>
      <w:r w:rsidRPr="00853FE4">
        <w:rPr>
          <w:color w:val="000000" w:themeColor="text1"/>
        </w:rPr>
        <w:t>The migration described in Section 6 is explicitly evolutionary, with a platform foundation phase followed by iterative domain onboarding over multiple years. Change management must be structured with the same temporal horizon. An initial change management phase, coinciding with platform build-out and the first domain pilot, should focus on building awareness and securing early adopters. During this phase, the change management team should conduct targeted stakeholder interviews with potential DPOs, regional science center directors, and domain team leads to understand specific concerns, identify influential skeptics, and design targeted engagement strategies.</w:t>
      </w:r>
    </w:p>
    <w:p w14:paraId="725EAC73" w14:textId="77777777" w:rsidR="007D75A8" w:rsidRPr="00853FE4" w:rsidRDefault="007D75A8">
      <w:pPr>
        <w:pBdr>
          <w:top w:val="nil"/>
          <w:left w:val="nil"/>
          <w:bottom w:val="nil"/>
          <w:right w:val="nil"/>
          <w:between w:val="nil"/>
        </w:pBdr>
        <w:rPr>
          <w:color w:val="000000" w:themeColor="text1"/>
        </w:rPr>
      </w:pPr>
    </w:p>
    <w:p w14:paraId="350A997C" w14:textId="77777777" w:rsidR="007D75A8" w:rsidRPr="00853FE4" w:rsidRDefault="00000000">
      <w:pPr>
        <w:rPr>
          <w:color w:val="000000" w:themeColor="text1"/>
        </w:rPr>
      </w:pPr>
      <w:r w:rsidRPr="00853FE4">
        <w:rPr>
          <w:color w:val="000000" w:themeColor="text1"/>
        </w:rPr>
        <w:t xml:space="preserve">A second phase, coinciding with the EM Fishery Monitoring domain pilot and the publication of the first cross-domain data products, should focus on building evidence. Measurable improvements in data discovery time, consumer satisfaction, or analytical throughput from the EM pilot become the most powerful change management tool available. Early wins must be </w:t>
      </w:r>
      <w:r w:rsidRPr="00853FE4">
        <w:rPr>
          <w:color w:val="000000" w:themeColor="text1"/>
        </w:rPr>
        <w:lastRenderedPageBreak/>
        <w:t>documented, communicated broadly, and attributed to the data mesh architecture, not to the exceptional efforts of individual domain teams.</w:t>
      </w:r>
    </w:p>
    <w:p w14:paraId="72AEFE7D" w14:textId="77777777" w:rsidR="007D75A8" w:rsidRPr="00853FE4" w:rsidRDefault="00000000">
      <w:pPr>
        <w:rPr>
          <w:color w:val="000000" w:themeColor="text1"/>
        </w:rPr>
      </w:pPr>
      <w:r w:rsidRPr="00853FE4">
        <w:rPr>
          <w:color w:val="000000" w:themeColor="text1"/>
        </w:rPr>
        <w:t>A third phase, coinciding with broader domain onboarding and the first legacy decommissionings, should focus on institutionalizing the new operating model. Data product ownership responsibilities should be incorporated into position descriptions. FinOps review cycles should be integrated into the standard quarterly budget review process. Data quality SLOs should be incorporated into domain team performance metrics. At this stage, the data mesh is no longer an initiative; it is the normal way that NOAA Fisheries manages its data.</w:t>
      </w:r>
    </w:p>
    <w:p w14:paraId="3E65F673" w14:textId="77777777" w:rsidR="007D75A8" w:rsidRPr="00853FE4" w:rsidRDefault="00000000">
      <w:pPr>
        <w:pStyle w:val="Heading3"/>
        <w:rPr>
          <w:color w:val="000000" w:themeColor="text1"/>
        </w:rPr>
      </w:pPr>
      <w:bookmarkStart w:id="101" w:name="_1gm0wqeduyvh" w:colFirst="0" w:colLast="0"/>
      <w:bookmarkEnd w:id="101"/>
      <w:r w:rsidRPr="00853FE4">
        <w:rPr>
          <w:color w:val="000000" w:themeColor="text1"/>
        </w:rPr>
        <w:t>The Cost of Inadequate Change Management</w:t>
      </w:r>
    </w:p>
    <w:p w14:paraId="68AC68F9" w14:textId="77777777" w:rsidR="007D75A8" w:rsidRPr="00853FE4" w:rsidRDefault="00000000">
      <w:pPr>
        <w:rPr>
          <w:color w:val="000000" w:themeColor="text1"/>
        </w:rPr>
      </w:pPr>
      <w:r w:rsidRPr="00853FE4">
        <w:rPr>
          <w:color w:val="000000" w:themeColor="text1"/>
        </w:rPr>
        <w:t>The risk of treating change management as a supporting activity rather than a distinct, resourced workstream is that the initiative stalls not because the architecture is wrong, but because the organization was not prepared for the change the architecture requires. Central team resistance, domain team resistance, partial adoption, platform underinvestment, governance impasse, and permanent dual-run states are not independent risks. They are symptoms of an organization undergoing a transformation it has not been prepared for and does not have the capacity to navigate.</w:t>
      </w:r>
    </w:p>
    <w:p w14:paraId="3944186F" w14:textId="77777777" w:rsidR="007D75A8" w:rsidRPr="00853FE4" w:rsidRDefault="007D75A8">
      <w:pPr>
        <w:pBdr>
          <w:top w:val="nil"/>
          <w:left w:val="nil"/>
          <w:bottom w:val="nil"/>
          <w:right w:val="nil"/>
          <w:between w:val="nil"/>
        </w:pBdr>
        <w:rPr>
          <w:color w:val="000000" w:themeColor="text1"/>
        </w:rPr>
      </w:pPr>
    </w:p>
    <w:p w14:paraId="046A3D75" w14:textId="77777777" w:rsidR="007D75A8" w:rsidRPr="00853FE4" w:rsidRDefault="00000000">
      <w:pPr>
        <w:rPr>
          <w:color w:val="000000" w:themeColor="text1"/>
        </w:rPr>
      </w:pPr>
      <w:r w:rsidRPr="00853FE4">
        <w:rPr>
          <w:color w:val="000000" w:themeColor="text1"/>
        </w:rPr>
        <w:t>If NOAA Fisheries proceeds with data mesh adoption, it must commit to change management as a first-order investment, comparable in importance to platform engineering, domain training, and governance design. The investment required is not merely financial. It requires executive time, leadership attention, and a willingness to address cultural friction directly rather than deferring it. Organizations that have succeeded in large-scale data mesh adoption, including those documented by Gafoor et al. (2022) and Perrin and Broda (2024), share a common characteristic: they invested in organizational change with the same rigor and discipline they applied to the technical architecture. The architecture proposed in this paper is sound. Its success depends on the organizational capability to implement it.</w:t>
      </w:r>
    </w:p>
    <w:p w14:paraId="7AC470E4" w14:textId="77777777" w:rsidR="007D75A8" w:rsidRPr="00853FE4" w:rsidRDefault="00000000">
      <w:pPr>
        <w:pStyle w:val="Heading1"/>
        <w:rPr>
          <w:color w:val="000000" w:themeColor="text1"/>
        </w:rPr>
      </w:pPr>
      <w:bookmarkStart w:id="102" w:name="_1j66xcdp674k" w:colFirst="0" w:colLast="0"/>
      <w:bookmarkEnd w:id="102"/>
      <w:r w:rsidRPr="00853FE4">
        <w:rPr>
          <w:color w:val="000000" w:themeColor="text1"/>
        </w:rPr>
        <w:t>8.0 Scaling to the NOAA Enterprise: Limits and Possibilities</w:t>
      </w:r>
    </w:p>
    <w:p w14:paraId="5D2BCE4B" w14:textId="77777777" w:rsidR="007D75A8" w:rsidRPr="00853FE4" w:rsidRDefault="00000000">
      <w:pPr>
        <w:rPr>
          <w:color w:val="000000" w:themeColor="text1"/>
        </w:rPr>
      </w:pPr>
      <w:r w:rsidRPr="00853FE4">
        <w:rPr>
          <w:color w:val="000000" w:themeColor="text1"/>
        </w:rPr>
        <w:t xml:space="preserve">The preceding sections have developed a complete Data Mesh Reference Architecture for NOAA Fisheries, grounded in the four principles of data mesh and instantiated using GCP-specific services within a defined organizational structure, a pattern-based migration strategy, and an assessment of tradeoffs and risks. This architecture is scoped to a single line office within the National Oceanic and Atmospheric Administration. NOAA comprises five line offices with distinct missions and regulatory frameworks, each operating under its own authorizing statutes: NOAA Fisheries, the National Weather Service (weather forecasts and warnings), the National </w:t>
      </w:r>
      <w:r w:rsidRPr="00853FE4">
        <w:rPr>
          <w:color w:val="000000" w:themeColor="text1"/>
        </w:rPr>
        <w:lastRenderedPageBreak/>
        <w:t>Environmental Satellite, Data, and Information Service (satellite operations and environmental data archives), the Office of Oceanic and Atmospheric Research (climate and ocean research), and the National Ocean Service (coastal and ocean resource management).</w:t>
      </w:r>
    </w:p>
    <w:p w14:paraId="7495E9A3" w14:textId="77777777" w:rsidR="007D75A8" w:rsidRPr="00853FE4" w:rsidRDefault="007D75A8">
      <w:pPr>
        <w:pBdr>
          <w:top w:val="nil"/>
          <w:left w:val="nil"/>
          <w:bottom w:val="nil"/>
          <w:right w:val="nil"/>
          <w:between w:val="nil"/>
        </w:pBdr>
        <w:rPr>
          <w:color w:val="000000" w:themeColor="text1"/>
        </w:rPr>
      </w:pPr>
    </w:p>
    <w:p w14:paraId="3630FC9D" w14:textId="77777777" w:rsidR="007D75A8" w:rsidRPr="00853FE4" w:rsidRDefault="00000000">
      <w:pPr>
        <w:rPr>
          <w:color w:val="000000" w:themeColor="text1"/>
        </w:rPr>
      </w:pPr>
      <w:r w:rsidRPr="00853FE4">
        <w:rPr>
          <w:color w:val="000000" w:themeColor="text1"/>
        </w:rPr>
        <w:t>This paper does not assess whether a unified data mesh is feasible for the full NOAA enterprise. Making that assessment would require detailed knowledge of each line office's infrastructure, identity architecture, networking topology, platform maturity, and governance framework, information that is not available at the level of a reference architecture paper. Instead, this section explores a more general question: what must be true in an organization like NOAA, with independently operating organizational units, heterogeneous technology stacks, and diverse statutory frameworks, for the data mesh pattern to hold at enterprise scale. It distinguishes architected multi-cloud from ungoverned sprawl and identifies the conditions that would need to be met to mitigate mesh failure modes through a pragmatic federated approach. The goal is to strengthen the contribution of the NOAA Fishereis-specific architecture by acknowledging its limits and by identifying the broader federated context in which it must operate.</w:t>
      </w:r>
    </w:p>
    <w:p w14:paraId="1057EA2E" w14:textId="77777777" w:rsidR="007D75A8" w:rsidRPr="00853FE4" w:rsidRDefault="00000000">
      <w:pPr>
        <w:pStyle w:val="Heading2"/>
        <w:rPr>
          <w:color w:val="000000" w:themeColor="text1"/>
        </w:rPr>
      </w:pPr>
      <w:bookmarkStart w:id="103" w:name="_w0ihlv9rc8z4" w:colFirst="0" w:colLast="0"/>
      <w:bookmarkEnd w:id="103"/>
      <w:r w:rsidRPr="00853FE4">
        <w:rPr>
          <w:color w:val="000000" w:themeColor="text1"/>
        </w:rPr>
        <w:t>8.1 The Limits of the Mesh Pattern at Scale</w:t>
      </w:r>
    </w:p>
    <w:p w14:paraId="17BFA3B5" w14:textId="77777777" w:rsidR="007D75A8" w:rsidRPr="00853FE4" w:rsidRDefault="00000000">
      <w:pPr>
        <w:rPr>
          <w:color w:val="000000" w:themeColor="text1"/>
        </w:rPr>
      </w:pPr>
      <w:r w:rsidRPr="00853FE4">
        <w:rPr>
          <w:color w:val="000000" w:themeColor="text1"/>
        </w:rPr>
        <w:t>The data mesh model is designed to scale data sharing within a bounded organizational context where the four principles can be implemented on a shared platform foundation. Domain ownership, data as a product, the self-serve data platform, and federated computational governance form an interdependent system that works when domains operate within a common organizational structure, under a shared governance framework, and on a unified technical platform (Dehghani, 2022). This is the context in which Sections 5 and 6 of this paper have applied the model to NOAA Fisheries: a single line office with a unified mission, a coherent regulatory framework centered on the Magnuson-Stevens Act, and a common GCP-based platform foundation. Within this bounded context, the mesh model is viable.</w:t>
      </w:r>
    </w:p>
    <w:p w14:paraId="2DF804B0" w14:textId="77777777" w:rsidR="007D75A8" w:rsidRPr="00853FE4" w:rsidRDefault="007D75A8">
      <w:pPr>
        <w:pBdr>
          <w:top w:val="nil"/>
          <w:left w:val="nil"/>
          <w:bottom w:val="nil"/>
          <w:right w:val="nil"/>
          <w:between w:val="nil"/>
        </w:pBdr>
        <w:rPr>
          <w:color w:val="000000" w:themeColor="text1"/>
        </w:rPr>
      </w:pPr>
    </w:p>
    <w:p w14:paraId="1ED894AE" w14:textId="77777777" w:rsidR="007D75A8" w:rsidRPr="00853FE4" w:rsidRDefault="00000000">
      <w:pPr>
        <w:rPr>
          <w:color w:val="000000" w:themeColor="text1"/>
        </w:rPr>
      </w:pPr>
      <w:r w:rsidRPr="00853FE4">
        <w:rPr>
          <w:color w:val="000000" w:themeColor="text1"/>
        </w:rPr>
        <w:t xml:space="preserve">When the scope expands to an enterprise composed of multiple, largely independent organizations, each with its own mission, culture, statutory frameworks, technology investments, and data management practices, the conditions that make the mesh model viable become far more difficult to satisfy. The distinction between domains within a single organization and organizations within a larger enterprise is qualitative, not merely one of scale. Domains such as Stock Assessment and Fishery Monitoring operate within a common governance hierarchy, share a funding structure, and can be brought onto a shared platform through decisions made by a single line office's leadership. Organizations at the level of NOAA's line offices operate with substantially greater autonomy, and the integration required for a unified mesh, shared platform infrastructure, common identity and authorization, cross-organizational networking, and </w:t>
      </w:r>
      <w:r w:rsidRPr="00853FE4">
        <w:rPr>
          <w:color w:val="000000" w:themeColor="text1"/>
        </w:rPr>
        <w:lastRenderedPageBreak/>
        <w:t>enterprise-wide data governance, would need to span organizational boundaries that the mesh model itself does not provide mechanisms to bridge.</w:t>
      </w:r>
    </w:p>
    <w:p w14:paraId="75CC8849" w14:textId="77777777" w:rsidR="007D75A8" w:rsidRPr="00853FE4" w:rsidRDefault="00000000">
      <w:pPr>
        <w:rPr>
          <w:color w:val="000000" w:themeColor="text1"/>
        </w:rPr>
      </w:pPr>
      <w:r w:rsidRPr="00853FE4">
        <w:rPr>
          <w:color w:val="000000" w:themeColor="text1"/>
        </w:rPr>
        <w:t>A unified data mesh spanning such an enterprise would require that several conditions hold simultaneously: that all organizations adopt a common cloud platform or that cross-platform interoperability is sufficient to provide a shared infrastructure experience; that identity and authorization systems are federated with the granularity required for fine-grained data product access control; that networking is configured to support direct, cross-organizational data product queries; and that a shared governance framework exists with authority to set and enforce interoperable data policies. These are not trivial requirements. They represent a level of organizational integration and technical standardization that large, federated enterprises may not have and that may not be achievable without a degree of centralized authority that is incompatible with the organizational autonomy that makes such enterprises effective. The limits of the mesh pattern at enterprise scale are not failures of the architecture; they are reflections of the organizational scale and diversity at which the assumptions underlying the mesh model must be supplemented by other integration mechanisms.</w:t>
      </w:r>
    </w:p>
    <w:p w14:paraId="429557BF" w14:textId="77777777" w:rsidR="007D75A8" w:rsidRPr="00853FE4" w:rsidRDefault="00000000">
      <w:pPr>
        <w:pStyle w:val="Heading2"/>
        <w:rPr>
          <w:color w:val="000000" w:themeColor="text1"/>
        </w:rPr>
      </w:pPr>
      <w:bookmarkStart w:id="104" w:name="_ydpv0q2jiub" w:colFirst="0" w:colLast="0"/>
      <w:bookmarkEnd w:id="104"/>
      <w:r w:rsidRPr="00853FE4">
        <w:rPr>
          <w:color w:val="000000" w:themeColor="text1"/>
        </w:rPr>
        <w:t>8.2 Where the Mesh Pattern Breaks Down</w:t>
      </w:r>
    </w:p>
    <w:p w14:paraId="7654248F" w14:textId="77777777" w:rsidR="007D75A8" w:rsidRPr="00853FE4" w:rsidRDefault="00000000">
      <w:pPr>
        <w:rPr>
          <w:color w:val="000000" w:themeColor="text1"/>
        </w:rPr>
      </w:pPr>
      <w:r w:rsidRPr="00853FE4">
        <w:rPr>
          <w:color w:val="000000" w:themeColor="text1"/>
        </w:rPr>
        <w:t>The data mesh model depends on four interdependent assumptions that hold within a bounded organizational context but become difficult to satisfy at the scale of an enterprise composed of multiple independent organizations with heterogeneous technology stacks. This subsection identifies what must be true for each assumption to hold at enterprise scale, and why those conditions are challenging to meet.</w:t>
      </w:r>
    </w:p>
    <w:p w14:paraId="150B6A8D" w14:textId="77777777" w:rsidR="007D75A8" w:rsidRPr="00853FE4" w:rsidRDefault="007D75A8">
      <w:pPr>
        <w:pBdr>
          <w:top w:val="nil"/>
          <w:left w:val="nil"/>
          <w:bottom w:val="nil"/>
          <w:right w:val="nil"/>
          <w:between w:val="nil"/>
        </w:pBdr>
        <w:rPr>
          <w:color w:val="000000" w:themeColor="text1"/>
        </w:rPr>
      </w:pPr>
    </w:p>
    <w:p w14:paraId="72036C93" w14:textId="77777777" w:rsidR="007D75A8" w:rsidRPr="00853FE4" w:rsidRDefault="00000000">
      <w:pPr>
        <w:rPr>
          <w:color w:val="000000" w:themeColor="text1"/>
        </w:rPr>
      </w:pPr>
      <w:r w:rsidRPr="00853FE4">
        <w:rPr>
          <w:b/>
          <w:bCs/>
          <w:color w:val="000000" w:themeColor="text1"/>
        </w:rPr>
        <w:t>Shared Platform.</w:t>
      </w:r>
      <w:r w:rsidRPr="00853FE4">
        <w:rPr>
          <w:color w:val="000000" w:themeColor="text1"/>
        </w:rPr>
        <w:t xml:space="preserve"> The self-serve platform principle assumes a shared cloud foundation that provides uniform infrastructure services to all participating domains (Dehghani, 2022). Within a single organization such as NOAA Fisheries, this assumption is achievable: the GCP organization, Shared VPC, and centralized IAM hierarchies described in Section 5.3 provide a common platform that all domains can share, with an enterprise platform team operating as the platform-as-product team for the entire line office. For this assumption to hold at enterprise scale, one of two conditions must be true: either all organizations adopt a single cloud platform under a common enterprise platform team, or cross-platform interoperability mechanisms are sufficiently mature that heterogeneous cloud environments present a unified self-serve experience to domain teams. The first condition requires a degree of centralized procurement and infrastructure authority that may not exist in a federated enterprise. The second condition requires standards and technologies for cross-cloud identity, networking, and platform abstraction that are still evolving and are not yet plug-and-play. Without one of these conditions, the self-serve data infrastructure promise, that domain teams can publish and consume data </w:t>
      </w:r>
      <w:r w:rsidRPr="00853FE4">
        <w:rPr>
          <w:color w:val="000000" w:themeColor="text1"/>
        </w:rPr>
        <w:lastRenderedPageBreak/>
        <w:t>products through a common set of platform services without managing infrastructure complexity directly, cannot be realized across organizational boundaries.</w:t>
      </w:r>
    </w:p>
    <w:p w14:paraId="08693CF1" w14:textId="77777777" w:rsidR="007D75A8" w:rsidRPr="00853FE4" w:rsidRDefault="007D75A8">
      <w:pPr>
        <w:pBdr>
          <w:top w:val="nil"/>
          <w:left w:val="nil"/>
          <w:bottom w:val="nil"/>
          <w:right w:val="nil"/>
          <w:between w:val="nil"/>
        </w:pBdr>
        <w:rPr>
          <w:color w:val="000000" w:themeColor="text1"/>
        </w:rPr>
      </w:pPr>
    </w:p>
    <w:p w14:paraId="48538E7E" w14:textId="77777777" w:rsidR="007D75A8" w:rsidRPr="00853FE4" w:rsidRDefault="00000000">
      <w:pPr>
        <w:rPr>
          <w:color w:val="000000" w:themeColor="text1"/>
        </w:rPr>
      </w:pPr>
      <w:r w:rsidRPr="00853FE4">
        <w:rPr>
          <w:b/>
          <w:bCs/>
          <w:color w:val="000000" w:themeColor="text1"/>
        </w:rPr>
        <w:t>Identity and Authorization.</w:t>
      </w:r>
      <w:r w:rsidRPr="00853FE4">
        <w:rPr>
          <w:color w:val="000000" w:themeColor="text1"/>
        </w:rPr>
        <w:t xml:space="preserve"> The data mesh model depends on fine-grained, attribute-based access control that can enforce policies such as granting a scientist read access to an aggregated data view while restricting access to the underlying confidential records (Perrin &amp; Broda, 2024). Within a single organization, the cloud provider's IAM hierarchy, integrated with the organization's identity system, provides a working authorization foundation. For this assumption to hold at enterprise scale, cross-organizational identity federation must exist with sufficient granularity to express data product access policies across cloud provider boundaries. This requires that identity systems for each organization be federated in ways that allow a policy defined in one cloud provider's IAM context to be evaluated in another provider's context, that identity attributes such as organizational affiliation and role are consistently defined across organizations, and that access decisions can be enforced at the granularity that data product contracts require (row-level, column-level, or view-level restrictions). These are complex identity engineering undertakings that go well beyond basic single sign-on. Governance federation, the mechanism that enables cross-domain policy enforcement in a data mesh, becomes exponentially more complex when the underlying identity systems cannot interoperate at this level of granularity.</w:t>
      </w:r>
    </w:p>
    <w:p w14:paraId="488E404E" w14:textId="77777777" w:rsidR="007D75A8" w:rsidRPr="00853FE4" w:rsidRDefault="007D75A8">
      <w:pPr>
        <w:pBdr>
          <w:top w:val="nil"/>
          <w:left w:val="nil"/>
          <w:bottom w:val="nil"/>
          <w:right w:val="nil"/>
          <w:between w:val="nil"/>
        </w:pBdr>
        <w:rPr>
          <w:color w:val="000000" w:themeColor="text1"/>
        </w:rPr>
      </w:pPr>
    </w:p>
    <w:p w14:paraId="1445C396" w14:textId="77777777" w:rsidR="007D75A8" w:rsidRPr="00853FE4" w:rsidRDefault="00000000">
      <w:pPr>
        <w:rPr>
          <w:color w:val="000000" w:themeColor="text1"/>
        </w:rPr>
      </w:pPr>
      <w:r w:rsidRPr="00853FE4">
        <w:rPr>
          <w:b/>
          <w:bCs/>
          <w:color w:val="000000" w:themeColor="text1"/>
        </w:rPr>
        <w:t>Networking and Direct Data Access.</w:t>
      </w:r>
      <w:r w:rsidRPr="00853FE4">
        <w:rPr>
          <w:color w:val="000000" w:themeColor="text1"/>
        </w:rPr>
        <w:t xml:space="preserve"> The mesh model assumes direct data product access: a consumer domain queries a producer domain's datasets without data movement or replication, with the platform managing authentication, authorization, and cost attribution transparently. Within a single organization, this architecture is supported by cloud interconnect and shared virtual private cloud networking. For this assumption to hold at enterprise scale, cross-organizational networking must be configured to permit direct, authenticated queries across cloud environments at the granularity of individual data products. This requires not merely that the organizations are connected by a common network fabric, but that the network security architecture permits fine-grained, policy-controlled data access traffic across organizational boundaries, that cross-cloud interconnection gateways exist where different organizations operate on different cloud providers, and that these gateways can enforce identity, authorization, and cost attribution policies at the query level. These are network architecture and security policy challenges that extend well beyond basic transport connectivity.</w:t>
      </w:r>
    </w:p>
    <w:p w14:paraId="536CFD66" w14:textId="77777777" w:rsidR="007D75A8" w:rsidRPr="00853FE4" w:rsidRDefault="007D75A8">
      <w:pPr>
        <w:pBdr>
          <w:top w:val="nil"/>
          <w:left w:val="nil"/>
          <w:bottom w:val="nil"/>
          <w:right w:val="nil"/>
          <w:between w:val="nil"/>
        </w:pBdr>
        <w:rPr>
          <w:color w:val="000000" w:themeColor="text1"/>
        </w:rPr>
      </w:pPr>
    </w:p>
    <w:p w14:paraId="17421CD5" w14:textId="77777777" w:rsidR="007D75A8" w:rsidRPr="00853FE4" w:rsidRDefault="00000000">
      <w:pPr>
        <w:rPr>
          <w:color w:val="000000" w:themeColor="text1"/>
        </w:rPr>
      </w:pPr>
      <w:r w:rsidRPr="00853FE4">
        <w:rPr>
          <w:b/>
          <w:bCs/>
          <w:color w:val="000000" w:themeColor="text1"/>
        </w:rPr>
        <w:t>Governance Across Statutory Boundaries.</w:t>
      </w:r>
      <w:r w:rsidRPr="00853FE4">
        <w:rPr>
          <w:color w:val="000000" w:themeColor="text1"/>
        </w:rPr>
        <w:t xml:space="preserve"> The federated computational governance model assumes a shared governance framework within which global policies can be defined, domain policies can extend global policies, and product-level policies can be validated for consistency. </w:t>
      </w:r>
      <w:r w:rsidRPr="00853FE4">
        <w:rPr>
          <w:color w:val="000000" w:themeColor="text1"/>
        </w:rPr>
        <w:lastRenderedPageBreak/>
        <w:t>This model depends on a shared policy enforcement substrate that exists within a single organization (Dehghani, 2022). For this assumption to hold at enterprise scale, a governance framework must exist with authority to set and enforce interoperable data policies across organizations, and the organizations must operate under statutory frameworks that are sufficiently compatible that a common set of global policies can be defined. When individual organizations within an enterprise operate under different authorizing statutes, as is the case at NOAA where line offices are governed by distinct legislative frameworks (Wallace &amp; Fletcher, 2000), the global policy tier that federated governance depends upon may not be definable without negotiating conflicts between statutory obligations. A governance policy that mandates public access to data products by default may conflict with one organization's confidentiality obligations. A retention policy that requires deletion after a set period may conflict with another organization's statutory mandate to maintain long-term archives. These conflicts cannot be resolved through computational governance; they require legal and policy negotiation that lies outside the scope of any data architecture.</w:t>
      </w:r>
    </w:p>
    <w:p w14:paraId="5E58C4A2" w14:textId="77777777" w:rsidR="007D75A8" w:rsidRPr="00853FE4" w:rsidRDefault="007D75A8">
      <w:pPr>
        <w:pBdr>
          <w:top w:val="nil"/>
          <w:left w:val="nil"/>
          <w:bottom w:val="nil"/>
          <w:right w:val="nil"/>
          <w:between w:val="nil"/>
        </w:pBdr>
        <w:rPr>
          <w:color w:val="000000" w:themeColor="text1"/>
        </w:rPr>
      </w:pPr>
    </w:p>
    <w:p w14:paraId="0E7C6FF8" w14:textId="77777777" w:rsidR="007D75A8" w:rsidRPr="00853FE4" w:rsidRDefault="00000000">
      <w:pPr>
        <w:rPr>
          <w:color w:val="000000" w:themeColor="text1"/>
        </w:rPr>
      </w:pPr>
      <w:r w:rsidRPr="00853FE4">
        <w:rPr>
          <w:b/>
          <w:bCs/>
          <w:color w:val="000000" w:themeColor="text1"/>
        </w:rPr>
        <w:t>Summary.</w:t>
      </w:r>
      <w:r w:rsidRPr="00853FE4">
        <w:rPr>
          <w:color w:val="000000" w:themeColor="text1"/>
        </w:rPr>
        <w:t xml:space="preserve"> These four conditions, a shared platform, federated identity and authorization, cross-organizational networking configured for direct data access, and governance authority across statutory boundaries, are what must be true for a data mesh to scale across an enterprise of independent organizations. They are not impossible to achieve, but achieving them requires organizational integration, technical standardization, and sustained investment that rival the challenge of the mesh implementation itself. In contexts where these conditions are not met, the pure mesh pattern cannot be applied. The following subsection examines a related challenge: the distinction between multi-cloud heterogeneity as an architected strategy and multi-cloud heterogeneity as ungoverned sprawl, and what the difference implies for the feasibility of enterprise-wide data integration.</w:t>
      </w:r>
    </w:p>
    <w:p w14:paraId="56E02CE6" w14:textId="77777777" w:rsidR="007D75A8" w:rsidRPr="00853FE4" w:rsidRDefault="00000000">
      <w:pPr>
        <w:pStyle w:val="Heading2"/>
        <w:rPr>
          <w:color w:val="000000" w:themeColor="text1"/>
        </w:rPr>
      </w:pPr>
      <w:bookmarkStart w:id="105" w:name="_tdzuop3l73x6" w:colFirst="0" w:colLast="0"/>
      <w:bookmarkEnd w:id="105"/>
      <w:r w:rsidRPr="00853FE4">
        <w:rPr>
          <w:color w:val="000000" w:themeColor="text1"/>
        </w:rPr>
        <w:t>8.3 Multi-Cloud Heterogeneity: From Sprawl to Architecture</w:t>
      </w:r>
    </w:p>
    <w:p w14:paraId="7127490C" w14:textId="77777777" w:rsidR="007D75A8" w:rsidRPr="00853FE4" w:rsidRDefault="00000000">
      <w:pPr>
        <w:rPr>
          <w:color w:val="000000" w:themeColor="text1"/>
        </w:rPr>
      </w:pPr>
      <w:r w:rsidRPr="00853FE4">
        <w:rPr>
          <w:color w:val="000000" w:themeColor="text1"/>
        </w:rPr>
        <w:t>The use of multiple cloud platforms across a large enterprise is not inherently problematic. Organizations can and do operate productively across multiple cloud providers when the heterogeneity is architected with intentionality. The critical question is not whether an enterprise uses multiple cloud providers but whether the use of multiple providers is governed by enterprise standards for identity, networking, data governance, and interoperability, or has emerged through uncoordinated, program-by-program adoption. This distinction, between architected multi-cloud and ungoverned cloud sprawl, determines whether heterogeneity is a manageable operational characteristic or a barrier to enterprise-wide data integration.</w:t>
      </w:r>
    </w:p>
    <w:p w14:paraId="0B2A34DE" w14:textId="77777777" w:rsidR="007D75A8" w:rsidRPr="00853FE4" w:rsidRDefault="007D75A8">
      <w:pPr>
        <w:pBdr>
          <w:top w:val="nil"/>
          <w:left w:val="nil"/>
          <w:bottom w:val="nil"/>
          <w:right w:val="nil"/>
          <w:between w:val="nil"/>
        </w:pBdr>
        <w:rPr>
          <w:color w:val="000000" w:themeColor="text1"/>
        </w:rPr>
      </w:pPr>
    </w:p>
    <w:p w14:paraId="6D3AE484" w14:textId="77777777" w:rsidR="007D75A8" w:rsidRPr="00853FE4" w:rsidRDefault="00000000">
      <w:pPr>
        <w:rPr>
          <w:color w:val="000000" w:themeColor="text1"/>
        </w:rPr>
      </w:pPr>
      <w:r w:rsidRPr="00853FE4">
        <w:rPr>
          <w:color w:val="000000" w:themeColor="text1"/>
        </w:rPr>
        <w:lastRenderedPageBreak/>
        <w:t>Linthicum (2023) provides a pragmatic, skeptical assessment of multi-cloud strategies that is directly relevant to this distinction. Multi-cloud is frequently marketed as a default necessity, but the reality is that operating across multiple cloud platforms carries significant costs that advocates often understate. Distributing workloads across separate cloud ecosystems fragments an organization's purchasing power, diminishing the volume discounts available from deep commitment to a single provider. More importantly, managing distinct infrastructure toolsets, security models, identity and access management frameworks, and governance policies across multiple cloud platforms drastically increases the operational burden on internal teams. These cost and complexity tradeoffs bear on the feasibility of enterprise-wide data integration because they raise the question of whether the benefits of cross-organizational data sharing justify the operational costs that a unified multi-cloud architecture would impose.</w:t>
      </w:r>
    </w:p>
    <w:p w14:paraId="075D7AD1" w14:textId="77777777" w:rsidR="007D75A8" w:rsidRPr="00853FE4" w:rsidRDefault="007D75A8">
      <w:pPr>
        <w:pBdr>
          <w:top w:val="nil"/>
          <w:left w:val="nil"/>
          <w:bottom w:val="nil"/>
          <w:right w:val="nil"/>
          <w:between w:val="nil"/>
        </w:pBdr>
        <w:rPr>
          <w:color w:val="000000" w:themeColor="text1"/>
        </w:rPr>
      </w:pPr>
    </w:p>
    <w:p w14:paraId="283D55C1" w14:textId="77777777" w:rsidR="007D75A8" w:rsidRPr="00853FE4" w:rsidRDefault="00000000">
      <w:pPr>
        <w:rPr>
          <w:color w:val="000000" w:themeColor="text1"/>
        </w:rPr>
      </w:pPr>
      <w:r w:rsidRPr="00853FE4">
        <w:rPr>
          <w:color w:val="000000" w:themeColor="text1"/>
        </w:rPr>
        <w:t>A related constraint is the technical talent required to operate effectively across multiple platforms. Linthicum (2023) identifies the skills gap as one of the most significant vulnerabilities in multi-cloud strategies: organizations rarely possess deep engineering expertise across multiple cloud platforms simultaneously, and the resulting shallow expertise leads to misconfigurations, security gaps, and unoptimized systems. This skills gap is particularly acute in contexts where hiring constraints make it difficult to recruit and retain cloud platform engineers at the depth that multi-cloud environments demand. The assumption that an organization can simply hire engineers for each platform underestimates both the cost and the coordination overhead of staffing platform engineering teams across multiple cloud ecosystems.</w:t>
      </w:r>
    </w:p>
    <w:p w14:paraId="540F9EEF" w14:textId="77777777" w:rsidR="007D75A8" w:rsidRPr="00853FE4" w:rsidRDefault="007D75A8">
      <w:pPr>
        <w:pBdr>
          <w:top w:val="nil"/>
          <w:left w:val="nil"/>
          <w:bottom w:val="nil"/>
          <w:right w:val="nil"/>
          <w:between w:val="nil"/>
        </w:pBdr>
        <w:rPr>
          <w:color w:val="000000" w:themeColor="text1"/>
        </w:rPr>
      </w:pPr>
    </w:p>
    <w:p w14:paraId="76511E26" w14:textId="77777777" w:rsidR="007D75A8" w:rsidRPr="00853FE4" w:rsidRDefault="00000000">
      <w:pPr>
        <w:rPr>
          <w:color w:val="000000" w:themeColor="text1"/>
        </w:rPr>
      </w:pPr>
      <w:r w:rsidRPr="00853FE4">
        <w:rPr>
          <w:color w:val="000000" w:themeColor="text1"/>
        </w:rPr>
        <w:t>The alternative to ungoverned sprawl is not necessarily a single cloud provider but an architected multi-cloud strategy in which platform selection is intentional, workload placement is strategic rather than accidental, and enterprise-wide standards for identity, networking, and governance make heterogeneity manageable. The NIST Cloud Computing Reference Architecture (Liu et al., 2011) provides the conceptual foundation for this approach through its Cloud Broker role, which manages service intermediation, aggregation, and arbitrage across multiple cloud providers. In an architected multi-cloud, a Cloud Broker function, whether implemented as a shared platform team, a set of interoperability standards, or a managed cross-cloud interconnection service, enables consumers to access data products across cloud environments without managing provider diversity directly.</w:t>
      </w:r>
    </w:p>
    <w:p w14:paraId="20FE8427" w14:textId="77777777" w:rsidR="007D75A8" w:rsidRPr="00853FE4" w:rsidRDefault="007D75A8">
      <w:pPr>
        <w:pBdr>
          <w:top w:val="nil"/>
          <w:left w:val="nil"/>
          <w:bottom w:val="nil"/>
          <w:right w:val="nil"/>
          <w:between w:val="nil"/>
        </w:pBdr>
        <w:rPr>
          <w:color w:val="000000" w:themeColor="text1"/>
        </w:rPr>
      </w:pPr>
    </w:p>
    <w:p w14:paraId="5F2098AB" w14:textId="77777777" w:rsidR="007D75A8" w:rsidRPr="00853FE4" w:rsidRDefault="00000000">
      <w:pPr>
        <w:rPr>
          <w:color w:val="000000" w:themeColor="text1"/>
        </w:rPr>
      </w:pPr>
      <w:r w:rsidRPr="00853FE4">
        <w:rPr>
          <w:color w:val="000000" w:themeColor="text1"/>
        </w:rPr>
        <w:t xml:space="preserve">Linthicum (2023) reinforces the importance of strategic workload placement over lowest-common-denominator standardization. The goal of an architected multi-cloud is not to make every cloud platform look identical but to place each workload on the platform best suited to handle it, and to establish interoperability standards that allow those workloads to interoperate </w:t>
      </w:r>
      <w:r w:rsidRPr="00853FE4">
        <w:rPr>
          <w:color w:val="000000" w:themeColor="text1"/>
        </w:rPr>
        <w:lastRenderedPageBreak/>
        <w:t>when necessary. In a large federated enterprise, this would mean that an organization with deep expertise in a particular cloud platform and workloads optimized for that platform would continue to operate its primary environment there, while standardized data product contracts, a federated data catalog, and cross-cloud interconnection gateways would enable data products from that organization to be discovered and consumed by other organizations operating on different platforms. The architectural objective is not platform convergence but governed interoperability.</w:t>
      </w:r>
    </w:p>
    <w:p w14:paraId="008DC36C" w14:textId="77777777" w:rsidR="007D75A8" w:rsidRPr="00853FE4" w:rsidRDefault="00000000">
      <w:pPr>
        <w:rPr>
          <w:color w:val="000000" w:themeColor="text1"/>
        </w:rPr>
      </w:pPr>
      <w:r w:rsidRPr="00853FE4">
        <w:rPr>
          <w:color w:val="000000" w:themeColor="text1"/>
        </w:rPr>
        <w:t>A related consideration concerns the use of open-source infrastructure stacks to replicate cloud-native platform capabilities across heterogeneous environments. An organization might attempt to avoid the cost and complexity of multi-cloud by deploying an open-source data platform, for example, a self-managed query engine, metadata catalog, and orchestration layer, on commodity infrastructure, creating a uniform platform experience without committing to any single cloud provider. Linthicum (2023) cautions that this approach often undermines the very benefits it seeks to achieve. Cloud-native managed services provide integrated security, identity, and governance capabilities that an open-source stack requires significant engineering effort to replicate, configure, and maintain. The operational burden of managing self-hosted platform infrastructure across multiple environments can exceed the complexity of managing cloud provider diversity directly. Moreover, if an organization has invested in building and maintaining a self-managed platform that runs on generic infrastructure, it has effectively created a single-platform abstraction layer that removes the original rationale for operating across multiple clouds in the first place. The self-serve platform depends on managed, integrated services that reduce domain team complexity, and replicating those services with open-source components shifts the complexity from the cloud provider to the organization's own platform engineering team.</w:t>
      </w:r>
    </w:p>
    <w:p w14:paraId="598EBDE8" w14:textId="77777777" w:rsidR="007D75A8" w:rsidRPr="00853FE4" w:rsidRDefault="007D75A8">
      <w:pPr>
        <w:pBdr>
          <w:top w:val="nil"/>
          <w:left w:val="nil"/>
          <w:bottom w:val="nil"/>
          <w:right w:val="nil"/>
          <w:between w:val="nil"/>
        </w:pBdr>
        <w:rPr>
          <w:color w:val="000000" w:themeColor="text1"/>
        </w:rPr>
      </w:pPr>
    </w:p>
    <w:p w14:paraId="5418458C" w14:textId="77777777" w:rsidR="007D75A8" w:rsidRPr="00853FE4" w:rsidRDefault="00000000">
      <w:pPr>
        <w:rPr>
          <w:color w:val="000000" w:themeColor="text1"/>
        </w:rPr>
      </w:pPr>
      <w:r w:rsidRPr="00853FE4">
        <w:rPr>
          <w:color w:val="000000" w:themeColor="text1"/>
        </w:rPr>
        <w:t>The distinction between sprawl and architecture is important because it shapes the set of possible futures for enterprise data integration. If multi-cloud heterogeneity is treated as sprawl, a condition to be corrected through consolidation, the path forward is a single, enterprise-wide cloud platform to which all organizations migrate, an outcome that requires a level of centralized procurement authority and organizational integration that may not exist. If multi-cloud heterogeneity is reframed as a starting point that can be transformed into an architected multi-cloud through governance standards and interoperability mechanisms, the path forward is incremental federation rather than wholesale migration. The elements of such a federated approach are the subject of the following subsection.</w:t>
      </w:r>
    </w:p>
    <w:p w14:paraId="4230F01D" w14:textId="77777777" w:rsidR="007D75A8" w:rsidRPr="00853FE4" w:rsidRDefault="00000000">
      <w:pPr>
        <w:pStyle w:val="Heading2"/>
        <w:rPr>
          <w:color w:val="000000" w:themeColor="text1"/>
        </w:rPr>
      </w:pPr>
      <w:bookmarkStart w:id="106" w:name="_wu6gxp2xsyek" w:colFirst="0" w:colLast="0"/>
      <w:bookmarkEnd w:id="106"/>
      <w:r w:rsidRPr="00853FE4">
        <w:rPr>
          <w:color w:val="000000" w:themeColor="text1"/>
        </w:rPr>
        <w:t>8.4 What Is Possible: Elements of a Federated Approach</w:t>
      </w:r>
    </w:p>
    <w:p w14:paraId="6A7863B8" w14:textId="77777777" w:rsidR="007D75A8" w:rsidRPr="00853FE4" w:rsidRDefault="00000000">
      <w:pPr>
        <w:rPr>
          <w:color w:val="000000" w:themeColor="text1"/>
        </w:rPr>
      </w:pPr>
      <w:r w:rsidRPr="00853FE4">
        <w:rPr>
          <w:color w:val="000000" w:themeColor="text1"/>
        </w:rPr>
        <w:t xml:space="preserve">The four elements of this federated approach, and their relationship to NMFS's internal data mesh, are depicted in </w:t>
      </w:r>
      <w:hyperlink w:anchor="_r89jgvjm64j">
        <w:r w:rsidRPr="00853FE4">
          <w:rPr>
            <w:color w:val="000000" w:themeColor="text1"/>
            <w:u w:val="single"/>
          </w:rPr>
          <w:t>Figure 16</w:t>
        </w:r>
      </w:hyperlink>
      <w:r w:rsidRPr="00853FE4">
        <w:rPr>
          <w:color w:val="000000" w:themeColor="text1"/>
        </w:rPr>
        <w:t xml:space="preserve">. The diagram positions NMFS as one participant among five </w:t>
      </w:r>
      <w:r w:rsidRPr="00853FE4">
        <w:rPr>
          <w:color w:val="000000" w:themeColor="text1"/>
        </w:rPr>
        <w:lastRenderedPageBreak/>
        <w:t>NOAA line offices, with four federation elements providing the connective tissue for enterprise-wide data sharing without requiring platform unification.</w:t>
      </w:r>
    </w:p>
    <w:p w14:paraId="27968C39" w14:textId="77777777" w:rsidR="007D75A8" w:rsidRPr="00853FE4" w:rsidRDefault="007D75A8">
      <w:pPr>
        <w:pBdr>
          <w:top w:val="nil"/>
          <w:left w:val="nil"/>
          <w:bottom w:val="nil"/>
          <w:right w:val="nil"/>
          <w:between w:val="nil"/>
        </w:pBdr>
        <w:rPr>
          <w:color w:val="000000" w:themeColor="text1"/>
        </w:rPr>
      </w:pPr>
    </w:p>
    <w:p w14:paraId="558E1C48" w14:textId="77777777" w:rsidR="007D75A8" w:rsidRPr="00853FE4" w:rsidRDefault="00000000">
      <w:pPr>
        <w:rPr>
          <w:color w:val="000000" w:themeColor="text1"/>
        </w:rPr>
      </w:pPr>
      <w:r w:rsidRPr="00853FE4">
        <w:rPr>
          <w:color w:val="000000" w:themeColor="text1"/>
        </w:rPr>
        <w:t>The preceding subsections have argued that a pure data mesh cannot scale across an enterprise of independent organizations unless specific architectural conditions are met, conditions that may not hold in a given enterprise context. These conclusions do not imply that cross-organizational data integration is impossible or undesirable. They imply that if a large enterprise with heterogeneous technology environments sought to enable data sharing across organizational boundaries, the integration mechanism would need to be something other than a pure data mesh. This subsection identifies four elements of a pragmatic federated approach that borrows from data mesh principles without requiring the shared platform assumption on which the pure mesh model depends.</w:t>
      </w:r>
    </w:p>
    <w:p w14:paraId="47DFCB20" w14:textId="77777777" w:rsidR="007D75A8" w:rsidRPr="00853FE4" w:rsidRDefault="007D75A8">
      <w:pPr>
        <w:pBdr>
          <w:top w:val="nil"/>
          <w:left w:val="nil"/>
          <w:bottom w:val="nil"/>
          <w:right w:val="nil"/>
          <w:between w:val="nil"/>
        </w:pBdr>
        <w:rPr>
          <w:color w:val="000000" w:themeColor="text1"/>
        </w:rPr>
      </w:pPr>
    </w:p>
    <w:p w14:paraId="6F8063B6" w14:textId="77777777" w:rsidR="007D75A8" w:rsidRPr="00853FE4" w:rsidRDefault="00000000">
      <w:pPr>
        <w:rPr>
          <w:color w:val="000000" w:themeColor="text1"/>
        </w:rPr>
      </w:pPr>
      <w:r w:rsidRPr="00853FE4">
        <w:rPr>
          <w:color w:val="000000" w:themeColor="text1"/>
        </w:rPr>
        <w:t>The first element is standardized data product contracts. Perrin and Broda (2024) describe data contracts as formal agreements between data product producers and consumers that specify schema, quality service level objectives, access policies, and consumption interfaces in a standard, machine-readable format. Data product contracts are the integration fabric of a data mesh, and they can serve the same function across organizational boundaries even when a shared platform does not exist. If an enterprise were to establish a set of cross-organizational data product contract specifications, defining required metadata fields, quality metrics, access control semantics, and schema documentation standards that are agnostic to the underlying cloud platform, a data product published by one organization on one cloud provider could be described in the same contractual language as a data product published by another organization on a different provider. The contract does not require a shared platform; it requires a shared agreement about how data products are described, accessed, and quality-assured.</w:t>
      </w:r>
    </w:p>
    <w:p w14:paraId="2B7E3C32" w14:textId="77777777" w:rsidR="007D75A8" w:rsidRPr="00853FE4" w:rsidRDefault="007D75A8">
      <w:pPr>
        <w:pBdr>
          <w:top w:val="nil"/>
          <w:left w:val="nil"/>
          <w:bottom w:val="nil"/>
          <w:right w:val="nil"/>
          <w:between w:val="nil"/>
        </w:pBdr>
        <w:rPr>
          <w:color w:val="000000" w:themeColor="text1"/>
        </w:rPr>
      </w:pPr>
    </w:p>
    <w:p w14:paraId="24D82667" w14:textId="77777777" w:rsidR="007D75A8" w:rsidRPr="00853FE4" w:rsidRDefault="00000000">
      <w:pPr>
        <w:rPr>
          <w:color w:val="000000" w:themeColor="text1"/>
        </w:rPr>
      </w:pPr>
      <w:r w:rsidRPr="00853FE4">
        <w:rPr>
          <w:color w:val="000000" w:themeColor="text1"/>
        </w:rPr>
        <w:t>The second element is a federated data catalog. Each organization that operates a data catalog would expose its data product metadata through a common metadata federation protocol. An enterprise-wide discovery portal, implemented at the enterprise level, would aggregate metadata from organizational catalogs, enabling a data consumer in any organization to discover data products published by any other organization. Discovery does not, by itself, enable direct consumption, which requires the networking and identity federation discussed in Section 8.2, but it is a necessary precondition for cross-organizational consumption to occur. A federated catalog preserves organizational autonomy in metadata management while enabling enterprise-wide visibility.</w:t>
      </w:r>
    </w:p>
    <w:p w14:paraId="134607E6" w14:textId="77777777" w:rsidR="007D75A8" w:rsidRPr="00853FE4" w:rsidRDefault="007D75A8">
      <w:pPr>
        <w:pBdr>
          <w:top w:val="nil"/>
          <w:left w:val="nil"/>
          <w:bottom w:val="nil"/>
          <w:right w:val="nil"/>
          <w:between w:val="nil"/>
        </w:pBdr>
        <w:rPr>
          <w:color w:val="000000" w:themeColor="text1"/>
        </w:rPr>
      </w:pPr>
    </w:p>
    <w:p w14:paraId="00A9CB2A" w14:textId="77777777" w:rsidR="007D75A8" w:rsidRPr="00853FE4" w:rsidRDefault="00000000">
      <w:pPr>
        <w:rPr>
          <w:color w:val="000000" w:themeColor="text1"/>
        </w:rPr>
      </w:pPr>
      <w:r w:rsidRPr="00853FE4">
        <w:rPr>
          <w:color w:val="000000" w:themeColor="text1"/>
        </w:rPr>
        <w:lastRenderedPageBreak/>
        <w:t>The third element is cross-cloud data access gateways. These are platform services, operated by an enterprise-wide platform team or by an existing enterprise service provider, that manage cross-cloud query routing, identity translation, policy enforcement, and cost attribution. The NIST Cloud Broker model provides the architectural pattern: a set of services that abstract the complexity of multiple cloud providers from data consumers, enabling a data consumer in one organization to query a data product in another organization's cloud environment without managing the underlying provider integration (Liu et al., 2011). Cross-cloud query engines offer a practical implementation pathway for this capability, though their maturity and suitability for any particular enterprise context would require evaluation.</w:t>
      </w:r>
    </w:p>
    <w:p w14:paraId="0CE3BE1D" w14:textId="77777777" w:rsidR="007D75A8" w:rsidRPr="00853FE4" w:rsidRDefault="00000000">
      <w:pPr>
        <w:rPr>
          <w:color w:val="000000" w:themeColor="text1"/>
        </w:rPr>
      </w:pPr>
      <w:r w:rsidRPr="00853FE4">
        <w:rPr>
          <w:color w:val="000000" w:themeColor="text1"/>
        </w:rPr>
        <w:t>The fourth element is an enterprise data governance council with cross-organizational authority. This council would not replace the governance bodies of individual organizations but would establish the global policy tier that the federated governance model depends upon. Its scope would be limited to the standards that enable interoperability: common metadata profiles, data product contract specifications, data classification standards, and quality measurement frameworks. Individual organizations would retain full authority over their domain-specific data management policies, consistent with the federated governance principle that the mesh model itself embodies at a smaller scale. The challenge of reconciling statutory differences across organizations, discussed in Section 8.2, would be one of this council's primary responsibilities.</w:t>
      </w:r>
    </w:p>
    <w:p w14:paraId="18010653" w14:textId="77777777" w:rsidR="007D75A8" w:rsidRPr="00853FE4" w:rsidRDefault="007D75A8">
      <w:pPr>
        <w:pBdr>
          <w:top w:val="nil"/>
          <w:left w:val="nil"/>
          <w:bottom w:val="nil"/>
          <w:right w:val="nil"/>
          <w:between w:val="nil"/>
        </w:pBdr>
        <w:rPr>
          <w:color w:val="000000" w:themeColor="text1"/>
        </w:rPr>
      </w:pPr>
    </w:p>
    <w:p w14:paraId="7A5C6E6F" w14:textId="77777777" w:rsidR="007D75A8" w:rsidRPr="00853FE4" w:rsidRDefault="00000000">
      <w:pPr>
        <w:rPr>
          <w:color w:val="000000" w:themeColor="text1"/>
        </w:rPr>
      </w:pPr>
      <w:r w:rsidRPr="00853FE4">
        <w:rPr>
          <w:color w:val="000000" w:themeColor="text1"/>
        </w:rPr>
        <w:t>These four elements, standardized data product contracts, a federated data catalog, cross-cloud data access gateways, and an enterprise data governance council, do not constitute a data mesh. They constitute a pragmatic federation that borrows from mesh principles, specifically the emphasis on product-oriented data management with explicit contracts and federated governance, without requiring the shared platform assumption that makes pure mesh viable. Perrin and Broda (2024) themselves envision a similar federated model at NOAA scale, suggesting that NOAA OCIO could provide shared platform foundation services while line offices contribute domain-specific data product templates, that a federated data catalog could enable enterprise-wide discovery while preserving line office autonomy, and that a three-tier governance model could accommodate NOAA-wide, line office, and domain-specific policies. This alignment between the pragmatic federation proposed here and the recommendations of the leading data mesh implementation guide suggests that the approach, while not a pure mesh, draws from a credible intellectual foundation.</w:t>
      </w:r>
    </w:p>
    <w:p w14:paraId="47059D6F" w14:textId="77777777" w:rsidR="007D75A8" w:rsidRPr="00853FE4" w:rsidRDefault="007D75A8">
      <w:pPr>
        <w:pBdr>
          <w:top w:val="nil"/>
          <w:left w:val="nil"/>
          <w:bottom w:val="nil"/>
          <w:right w:val="nil"/>
          <w:between w:val="nil"/>
        </w:pBdr>
        <w:rPr>
          <w:color w:val="000000" w:themeColor="text1"/>
        </w:rPr>
      </w:pPr>
    </w:p>
    <w:p w14:paraId="3D758C35" w14:textId="77777777" w:rsidR="007D75A8" w:rsidRPr="00853FE4" w:rsidRDefault="00000000">
      <w:pPr>
        <w:rPr>
          <w:color w:val="000000" w:themeColor="text1"/>
        </w:rPr>
      </w:pPr>
      <w:r w:rsidRPr="00853FE4">
        <w:rPr>
          <w:color w:val="000000" w:themeColor="text1"/>
        </w:rPr>
        <w:t xml:space="preserve">Importantly, these elements do not require that an individual organization's internal data mesh, such as the NOAA Fisheries architecture developed in this paper, be dismantled or redesigned. An internal mesh can proceed as an organizational transformation, producing data products with well-defined contracts that are, from the outset, designed for potential cross-organizational </w:t>
      </w:r>
      <w:r w:rsidRPr="00853FE4">
        <w:rPr>
          <w:color w:val="000000" w:themeColor="text1"/>
        </w:rPr>
        <w:lastRenderedPageBreak/>
        <w:t>consumption. The federated approach provides a framework into which an internal mesh can connect without requiring that all organizations adopt the same platform or the same architecture.</w:t>
      </w:r>
    </w:p>
    <w:p w14:paraId="6190A1C5" w14:textId="77777777" w:rsidR="007D75A8" w:rsidRPr="00853FE4" w:rsidRDefault="00000000">
      <w:pPr>
        <w:pStyle w:val="Heading2"/>
        <w:rPr>
          <w:color w:val="000000" w:themeColor="text1"/>
        </w:rPr>
      </w:pPr>
      <w:bookmarkStart w:id="107" w:name="_k1vx3gnqf0wy" w:colFirst="0" w:colLast="0"/>
      <w:bookmarkEnd w:id="107"/>
      <w:r w:rsidRPr="00853FE4">
        <w:rPr>
          <w:color w:val="000000" w:themeColor="text1"/>
        </w:rPr>
        <w:t>8.5 Boundary of This Paper's Claims</w:t>
      </w:r>
    </w:p>
    <w:p w14:paraId="049AFE94" w14:textId="77777777" w:rsidR="007D75A8" w:rsidRPr="00853FE4" w:rsidRDefault="00000000">
      <w:pPr>
        <w:rPr>
          <w:color w:val="000000" w:themeColor="text1"/>
        </w:rPr>
      </w:pPr>
      <w:r w:rsidRPr="00853FE4">
        <w:rPr>
          <w:color w:val="000000" w:themeColor="text1"/>
        </w:rPr>
        <w:t>The Data Mesh Reference Architecture developed in Sections 5 and 6 of this paper is scoped to NOAA Fisheries. The domain decomposition, platform architecture, governance model, and migration strategy are designed for a single line office operating on a common GCP platform foundation under a unified statutory framework centered on the Magnuson-Stevens Act. The claim that the architecture is viable for NOAA Fisheries does not imply that it is directly applicable to the full NOAA enterprise, and this paper makes no such claim.</w:t>
      </w:r>
    </w:p>
    <w:p w14:paraId="4925187B" w14:textId="77777777" w:rsidR="007D75A8" w:rsidRPr="00853FE4" w:rsidRDefault="00000000">
      <w:pPr>
        <w:rPr>
          <w:color w:val="000000" w:themeColor="text1"/>
        </w:rPr>
      </w:pPr>
      <w:r w:rsidRPr="00853FE4">
        <w:rPr>
          <w:color w:val="000000" w:themeColor="text1"/>
        </w:rPr>
        <w:t>The patterns and governance principles developed in this paper, specifically domain ownership, data product contracts, the self-serve platform model, and federated computational governance, inform but do not determine a NOAA-wide architecture. The analysis in Section 8.4 of what might be possible in a federated approach is a proposal for how these patterns could contribute to a much larger undertaking, not a claim that the NOAA Fisheries architecture can be scaled or generalized. The NIST Cloud Broker pattern (Liu et al., 2011), the distinction between architected multi-cloud and sprawl, and the pragmatic skepticism toward multi-cloud complexity articulated by Linthicum (2023) are offered as conceptual frameworks for thinking about enterprise-wide data integration, not as architectural designs that have been validated for any particular enterprise context.</w:t>
      </w:r>
    </w:p>
    <w:p w14:paraId="2F2900AC" w14:textId="77777777" w:rsidR="007D75A8" w:rsidRPr="00853FE4" w:rsidRDefault="007D75A8">
      <w:pPr>
        <w:pBdr>
          <w:top w:val="nil"/>
          <w:left w:val="nil"/>
          <w:bottom w:val="nil"/>
          <w:right w:val="nil"/>
          <w:between w:val="nil"/>
        </w:pBdr>
        <w:rPr>
          <w:color w:val="000000" w:themeColor="text1"/>
        </w:rPr>
      </w:pPr>
    </w:p>
    <w:p w14:paraId="530BA618" w14:textId="77777777" w:rsidR="007D75A8" w:rsidRPr="00853FE4" w:rsidRDefault="00000000">
      <w:pPr>
        <w:rPr>
          <w:color w:val="000000" w:themeColor="text1"/>
        </w:rPr>
      </w:pPr>
      <w:r w:rsidRPr="00853FE4">
        <w:rPr>
          <w:color w:val="000000" w:themeColor="text1"/>
        </w:rPr>
        <w:t>Scoping is not a limitation that weakens the contribution of this paper. It is a methodological discipline that strengthens it. By clearly bounding the scope of the architecture to NOAA Fisheries, the paper avoids overgeneralization that would undermine the credibility of the specific architectural recommendations it makes. By acknowledging where the mesh pattern breaks down at enterprise scale and identifying the conditions that must be true for it to succeed, the paper provides an assessment of the limits of its own proposals, which is essential for responsible architectural guidance. By identifying the elements of a possible federated approach without overstating their feasibility, the paper offers a constructive vision for the future that respects the complexity of the present. The architecture described in Sections 5 and 6 is a blueprint for data management transformation within a single line office. The extent to which a similar transformation can or should be pursued across the full NOAA enterprise is a question that this paper raises but does not answer.</w:t>
      </w:r>
    </w:p>
    <w:p w14:paraId="00EFB7DF" w14:textId="77777777" w:rsidR="007D75A8" w:rsidRPr="00853FE4" w:rsidRDefault="00000000">
      <w:pPr>
        <w:pStyle w:val="Heading1"/>
        <w:rPr>
          <w:color w:val="000000" w:themeColor="text1"/>
        </w:rPr>
      </w:pPr>
      <w:bookmarkStart w:id="108" w:name="_b654msc8z1qe" w:colFirst="0" w:colLast="0"/>
      <w:bookmarkEnd w:id="108"/>
      <w:r w:rsidRPr="00853FE4">
        <w:rPr>
          <w:color w:val="000000" w:themeColor="text1"/>
        </w:rPr>
        <w:lastRenderedPageBreak/>
        <w:t>9.0 Conclusion and Future Directions</w:t>
      </w:r>
    </w:p>
    <w:p w14:paraId="076D8EA0" w14:textId="77777777" w:rsidR="007D75A8" w:rsidRPr="00853FE4" w:rsidRDefault="00000000">
      <w:pPr>
        <w:rPr>
          <w:color w:val="000000" w:themeColor="text1"/>
        </w:rPr>
      </w:pPr>
      <w:r w:rsidRPr="00853FE4">
        <w:rPr>
          <w:color w:val="000000" w:themeColor="text1"/>
        </w:rPr>
        <w:t>This paper has proposed a complete Data Mesh Reference Architecture for NOAA Fisheries, grounded in the four principles of data mesh and instantiated using specific Google Cloud Platform services within a defined organizational model. The preceding sections have developed each element of this architecture in sequence: the problem context (Section 1), the fishery data ecosystem and its constraints (Section 2), the evolution of big data architectures toward mesh (Section 3), the four data mesh principles and their intellectual foundations (Section 4), the reference architecture itself (Section 5), the migration and adoption strategy (Section 6), a balanced assessment of tradeoffs and risks (Section 7), and an appraisal of the limits of the mesh pattern at the scale of the broader NOAA enterprise (Section 8). This concluding section summarizes the paper's contributions, acknowledges its limitations, and identifies promising directions for future work.</w:t>
      </w:r>
    </w:p>
    <w:p w14:paraId="110554D7" w14:textId="77777777" w:rsidR="007D75A8" w:rsidRPr="00853FE4" w:rsidRDefault="00000000">
      <w:pPr>
        <w:pStyle w:val="Heading2"/>
        <w:rPr>
          <w:color w:val="000000" w:themeColor="text1"/>
        </w:rPr>
      </w:pPr>
      <w:bookmarkStart w:id="109" w:name="_g9qzu6kt48a5" w:colFirst="0" w:colLast="0"/>
      <w:bookmarkEnd w:id="109"/>
      <w:r w:rsidRPr="00853FE4">
        <w:rPr>
          <w:color w:val="000000" w:themeColor="text1"/>
        </w:rPr>
        <w:t>9.1 Summary of Contributions</w:t>
      </w:r>
    </w:p>
    <w:p w14:paraId="14946A60" w14:textId="77777777" w:rsidR="007D75A8" w:rsidRPr="00853FE4" w:rsidRDefault="00000000">
      <w:pPr>
        <w:rPr>
          <w:color w:val="000000" w:themeColor="text1"/>
        </w:rPr>
      </w:pPr>
      <w:r w:rsidRPr="00853FE4">
        <w:rPr>
          <w:color w:val="000000" w:themeColor="text1"/>
        </w:rPr>
        <w:t>This paper makes six distinct contributions to the literature on data architecture in scientific and regulatory contexts.</w:t>
      </w:r>
    </w:p>
    <w:p w14:paraId="1CC1B1CB" w14:textId="77777777" w:rsidR="007D75A8" w:rsidRPr="00853FE4" w:rsidRDefault="007D75A8">
      <w:pPr>
        <w:pBdr>
          <w:top w:val="nil"/>
          <w:left w:val="nil"/>
          <w:bottom w:val="nil"/>
          <w:right w:val="nil"/>
          <w:between w:val="nil"/>
        </w:pBdr>
        <w:rPr>
          <w:color w:val="000000" w:themeColor="text1"/>
        </w:rPr>
      </w:pPr>
    </w:p>
    <w:p w14:paraId="4DCE6A76" w14:textId="77777777" w:rsidR="007D75A8" w:rsidRPr="00853FE4" w:rsidRDefault="00000000">
      <w:pPr>
        <w:rPr>
          <w:color w:val="000000" w:themeColor="text1"/>
        </w:rPr>
      </w:pPr>
      <w:r w:rsidRPr="00853FE4">
        <w:rPr>
          <w:color w:val="000000" w:themeColor="text1"/>
        </w:rPr>
        <w:t>First, it provides a domain decomposition of a complex federal regulatory organization using domain-driven design principles. The eight functional domains defined in Section 5.1, organized around Magnuson-Stevens Act statutory responsibilities rather than geographic regions or technology layers, demonstrate how bounded context analysis (Evans, 2003) can be applied to a mission-driven public agency. This decomposition addresses a gap in the data mesh literature, which has emphasized commercial enterprise applications (Dehghani, 2022; Perrin &amp; Broda, 2024), by showing that the same analytical framework yields coherent domain boundaries in a regulatory context where organizational structure, statutory mandates, and funding mechanisms create constraints distinct from those found in commercial settings.</w:t>
      </w:r>
    </w:p>
    <w:p w14:paraId="02D70B6C" w14:textId="77777777" w:rsidR="007D75A8" w:rsidRPr="00853FE4" w:rsidRDefault="007D75A8">
      <w:pPr>
        <w:pBdr>
          <w:top w:val="nil"/>
          <w:left w:val="nil"/>
          <w:bottom w:val="nil"/>
          <w:right w:val="nil"/>
          <w:between w:val="nil"/>
        </w:pBdr>
        <w:rPr>
          <w:color w:val="000000" w:themeColor="text1"/>
        </w:rPr>
      </w:pPr>
    </w:p>
    <w:p w14:paraId="0EDDE23D" w14:textId="77777777" w:rsidR="007D75A8" w:rsidRPr="00853FE4" w:rsidRDefault="00000000">
      <w:pPr>
        <w:rPr>
          <w:color w:val="000000" w:themeColor="text1"/>
        </w:rPr>
      </w:pPr>
      <w:r w:rsidRPr="00853FE4">
        <w:rPr>
          <w:color w:val="000000" w:themeColor="text1"/>
        </w:rPr>
        <w:t xml:space="preserve">Second, it instantiates the four data mesh principles using specific GCP services with sufficient specificity to derive actionable implementation guidance. The landing zone architecture described in Section 5.3 specifies the GCP resource hierarchy, Shared VPC networking topology, IAM custom role definitions, service account architecture, encryption configuration via Cloud KMS, and platform service catalog required to implement a self-serve data platform within a federal cloud environment. This level of specificity, the organization hierarchy, folder structure, per-domain project organization, label-based cost attribution model, infrastructure-as-code deployment via Cloud Build and Terraform, is uncommon in the data mesh literature and </w:t>
      </w:r>
      <w:r w:rsidRPr="00853FE4">
        <w:rPr>
          <w:color w:val="000000" w:themeColor="text1"/>
        </w:rPr>
        <w:lastRenderedPageBreak/>
        <w:t>addresses the implementation gap that Perrin and Broda (2024) themselves identify as a barrier to adoption.</w:t>
      </w:r>
    </w:p>
    <w:p w14:paraId="713CF3E2" w14:textId="77777777" w:rsidR="007D75A8" w:rsidRPr="00853FE4" w:rsidRDefault="007D75A8">
      <w:pPr>
        <w:pBdr>
          <w:top w:val="nil"/>
          <w:left w:val="nil"/>
          <w:bottom w:val="nil"/>
          <w:right w:val="nil"/>
          <w:between w:val="nil"/>
        </w:pBdr>
        <w:rPr>
          <w:color w:val="000000" w:themeColor="text1"/>
        </w:rPr>
      </w:pPr>
    </w:p>
    <w:p w14:paraId="4A651F02" w14:textId="77777777" w:rsidR="007D75A8" w:rsidRPr="00853FE4" w:rsidRDefault="00000000">
      <w:pPr>
        <w:rPr>
          <w:color w:val="000000" w:themeColor="text1"/>
        </w:rPr>
      </w:pPr>
      <w:r w:rsidRPr="00853FE4">
        <w:rPr>
          <w:color w:val="000000" w:themeColor="text1"/>
        </w:rPr>
        <w:t>Third, it demonstrates the integration of NIST SP 800-53 security and privacy controls within a federated computational governance framework. The representative control mapping in Section 5.4 shows how specific GCP services enforce specific NIST controls: Cloud IAM for AC-3 (Access Enforcement), Cloud Logging for AU-2 (Audit Logging), VPC Service Controls for SC-7 (Boundary Protection), Dataplex quality rules for SI-10 (Information Input Validation), and Cloud KMS for SC-13 (Cryptographic Protection). The three-tier control inheritance model, GCP FedRAMP common controls, platform team hybrid controls, and system-specific controls managed by Data Product Owners, provides a strategy for continuous authorization that reduces the compliance burden on individual data products without compromising security posture. No prior work in the data mesh literature has addressed NIST 800-53 control integration within a mesh governance framework with this specificity.</w:t>
      </w:r>
    </w:p>
    <w:p w14:paraId="24637DF3" w14:textId="77777777" w:rsidR="007D75A8" w:rsidRPr="00853FE4" w:rsidRDefault="007D75A8">
      <w:pPr>
        <w:rPr>
          <w:color w:val="000000" w:themeColor="text1"/>
        </w:rPr>
      </w:pPr>
    </w:p>
    <w:p w14:paraId="17E38E2C" w14:textId="77777777" w:rsidR="007D75A8" w:rsidRPr="00853FE4" w:rsidRDefault="00000000">
      <w:pPr>
        <w:rPr>
          <w:color w:val="000000" w:themeColor="text1"/>
        </w:rPr>
      </w:pPr>
      <w:r w:rsidRPr="00853FE4">
        <w:rPr>
          <w:color w:val="000000" w:themeColor="text1"/>
        </w:rPr>
        <w:t>Fourth, it presents the Commercial Fishing Electronic Monitoring data product as a running case study that grounds abstract architectural concepts in a concrete, verifiable use case. The EM example was not a brief illustration; it was developed as a thread through all five subsections of the reference architecture (Sections 5.1 through 5.5), demonstrating domain ownership assignment to the Fishery Monitoring domain, data product specification with BigQuery DDL and explicit quality SLOs, platform provisioning through an automated template workflow, computational governance enforcement of MSA confidentiality requirements via row-level security and DLP scanning, and the integration of principles into a coherent data product lifecycle. This depth of treatment distinguishes it from the more circumscribed examples common in the data mesh literature.</w:t>
      </w:r>
    </w:p>
    <w:p w14:paraId="0FD1FEFC" w14:textId="77777777" w:rsidR="007D75A8" w:rsidRPr="00853FE4" w:rsidRDefault="007D75A8">
      <w:pPr>
        <w:pBdr>
          <w:top w:val="nil"/>
          <w:left w:val="nil"/>
          <w:bottom w:val="nil"/>
          <w:right w:val="nil"/>
          <w:between w:val="nil"/>
        </w:pBdr>
        <w:rPr>
          <w:color w:val="000000" w:themeColor="text1"/>
        </w:rPr>
      </w:pPr>
    </w:p>
    <w:p w14:paraId="062FCA97" w14:textId="77777777" w:rsidR="007D75A8" w:rsidRPr="00853FE4" w:rsidRDefault="00000000">
      <w:pPr>
        <w:rPr>
          <w:color w:val="000000" w:themeColor="text1"/>
        </w:rPr>
      </w:pPr>
      <w:r w:rsidRPr="00853FE4">
        <w:rPr>
          <w:color w:val="000000" w:themeColor="text1"/>
        </w:rPr>
        <w:t>Fifth, it offers a balanced assessment of tradeoffs, risks, and mitigation strategies. Section 7 systematically examines six dimensions of risk: organizational disruption and cultural resistance, platform investment and total cost of ownership, federated governance complexity, legacy system integration challenges, the risk of fragmentation without integration, and change management as a distinct challenge. Unlike more promotional treatments of data mesh that emphasize benefits while minimizing costs (Goedegebuure et al., 2023), this paper's tradeoff analysis acknowledges that the architectural pattern carries real risks that must be actively managed. The treatment of cost is similarly balanced, the FinOps model described in Section 5.3 provides a practical mechanism for cost transparency and accountability, but the risk of cloud cost overruns is not minimized.</w:t>
      </w:r>
    </w:p>
    <w:p w14:paraId="727BA971" w14:textId="77777777" w:rsidR="007D75A8" w:rsidRPr="00853FE4" w:rsidRDefault="007D75A8">
      <w:pPr>
        <w:pBdr>
          <w:top w:val="nil"/>
          <w:left w:val="nil"/>
          <w:bottom w:val="nil"/>
          <w:right w:val="nil"/>
          <w:between w:val="nil"/>
        </w:pBdr>
        <w:rPr>
          <w:color w:val="000000" w:themeColor="text1"/>
        </w:rPr>
      </w:pPr>
    </w:p>
    <w:p w14:paraId="0D2042CC" w14:textId="77777777" w:rsidR="007D75A8" w:rsidRPr="00853FE4" w:rsidRDefault="00000000">
      <w:pPr>
        <w:rPr>
          <w:color w:val="000000" w:themeColor="text1"/>
        </w:rPr>
      </w:pPr>
      <w:r w:rsidRPr="00853FE4">
        <w:rPr>
          <w:color w:val="000000" w:themeColor="text1"/>
        </w:rPr>
        <w:lastRenderedPageBreak/>
        <w:t>Sixth, it provides a pattern-based evolutionary migration strategy grounded in established software engineering patterns. The Strangler Fig (Cartwright et al., 2024), Anti-Corruption Layer (Evans, 2003), and Parallel Run patterns described in Section 6.2 offer a principled alternative to arbitrary phased migration plans. The order of operations derived from pattern dependencies, anti-corruption layer must precede strangler fig, parallel run must precede legacy decommissioning, platform foundation must precede domain onboarding, provides a logical sequence that respects the technical constraints of legacy system coexistence while enabling incremental value delivery.</w:t>
      </w:r>
    </w:p>
    <w:p w14:paraId="29AF516B" w14:textId="77777777" w:rsidR="007D75A8" w:rsidRPr="00853FE4" w:rsidRDefault="007D75A8">
      <w:pPr>
        <w:pBdr>
          <w:top w:val="nil"/>
          <w:left w:val="nil"/>
          <w:bottom w:val="nil"/>
          <w:right w:val="nil"/>
          <w:between w:val="nil"/>
        </w:pBdr>
        <w:rPr>
          <w:color w:val="000000" w:themeColor="text1"/>
        </w:rPr>
      </w:pPr>
    </w:p>
    <w:p w14:paraId="45D35062" w14:textId="77777777" w:rsidR="007D75A8" w:rsidRPr="00853FE4" w:rsidRDefault="00000000">
      <w:pPr>
        <w:rPr>
          <w:color w:val="000000" w:themeColor="text1"/>
        </w:rPr>
      </w:pPr>
      <w:r w:rsidRPr="00853FE4">
        <w:rPr>
          <w:color w:val="000000" w:themeColor="text1"/>
        </w:rPr>
        <w:t>Each of the five research questions posed in Section 1.2 has been addressed. RQ1, concerning the appropriate reference architecture for the NOAA Fisheries context, is answered by Sections 5.1 through 5.5 in their entirety. RQ2, concerning the instantiation of data mesh principles using GCP services, is answered by the detailed landing zone architecture, IAM model, platform service catalog, and data product creation workflow in Section 5.3. RQ3, concerning the encoding of federal regulatory and security requirements as computational governance policies, is answered by the NIST 800-53 control mapping and three-tier control inheritance model in</w:t>
      </w:r>
    </w:p>
    <w:p w14:paraId="56BFA9A0" w14:textId="77777777" w:rsidR="007D75A8" w:rsidRPr="00853FE4" w:rsidRDefault="00000000">
      <w:pPr>
        <w:rPr>
          <w:color w:val="000000" w:themeColor="text1"/>
        </w:rPr>
      </w:pPr>
      <w:r w:rsidRPr="00853FE4">
        <w:rPr>
          <w:color w:val="000000" w:themeColor="text1"/>
        </w:rPr>
        <w:t>Section 5.4. RQ4, concerning the viable migration path, is answered by the pattern-based migration strategy in Section 6.2. RQ5, concerning the organizational and operational capabilities necessary to sustain a data mesh, is addressed by the change management framework in Section 6.3 and the capability building discussion in Section 6.4, together with the risk analysis in Section 7.</w:t>
      </w:r>
    </w:p>
    <w:p w14:paraId="11DB39CB" w14:textId="77777777" w:rsidR="007D75A8" w:rsidRPr="00853FE4" w:rsidRDefault="00000000">
      <w:pPr>
        <w:pStyle w:val="Heading2"/>
        <w:rPr>
          <w:color w:val="000000" w:themeColor="text1"/>
        </w:rPr>
      </w:pPr>
      <w:bookmarkStart w:id="110" w:name="_cc497g304svv" w:colFirst="0" w:colLast="0"/>
      <w:bookmarkEnd w:id="110"/>
      <w:r w:rsidRPr="00853FE4">
        <w:rPr>
          <w:color w:val="000000" w:themeColor="text1"/>
        </w:rPr>
        <w:t>9.2 Limitations</w:t>
      </w:r>
    </w:p>
    <w:p w14:paraId="2244CBFB" w14:textId="77777777" w:rsidR="007D75A8" w:rsidRPr="00853FE4" w:rsidRDefault="00000000">
      <w:pPr>
        <w:rPr>
          <w:color w:val="000000" w:themeColor="text1"/>
        </w:rPr>
      </w:pPr>
      <w:r w:rsidRPr="00853FE4">
        <w:rPr>
          <w:color w:val="000000" w:themeColor="text1"/>
        </w:rPr>
        <w:t>The contributions enumerated in Section 9.1 must be understood within the boundaries of this paper's scope and methodology. This subsection identifies four specific limitations that qualify the claims made in the preceding sections.</w:t>
      </w:r>
    </w:p>
    <w:p w14:paraId="44522E9B" w14:textId="77777777" w:rsidR="007D75A8" w:rsidRPr="00853FE4" w:rsidRDefault="007D75A8">
      <w:pPr>
        <w:pBdr>
          <w:top w:val="nil"/>
          <w:left w:val="nil"/>
          <w:bottom w:val="nil"/>
          <w:right w:val="nil"/>
          <w:between w:val="nil"/>
        </w:pBdr>
        <w:rPr>
          <w:color w:val="000000" w:themeColor="text1"/>
        </w:rPr>
      </w:pPr>
    </w:p>
    <w:p w14:paraId="1FD2C2A8" w14:textId="77777777" w:rsidR="007D75A8" w:rsidRPr="00853FE4" w:rsidRDefault="00000000">
      <w:pPr>
        <w:rPr>
          <w:color w:val="000000" w:themeColor="text1"/>
        </w:rPr>
      </w:pPr>
      <w:r w:rsidRPr="00853FE4">
        <w:rPr>
          <w:color w:val="000000" w:themeColor="text1"/>
        </w:rPr>
        <w:t xml:space="preserve">The first and most significant limitation concerns the nature of the artifact itself. This paper provides a reference architecture, a blueprint for a system that has not yet been built. Reference architectures are validated through implementation; the architecture described in Sections 5 and 6 has not been empirically evaluated in a real organizational context. The patterns it proposes, domain decomposition, data product specification with explicit contracts, computational governance enforcement of NIST controls, platform-based data product creation workflows, and pattern-based evolutionary migration, are drawn from known principles and prior implementations described in the peer-reviewed and gray literature (Dehghani, 2022; Perrin &amp; Broda, 2024; Goedegebuure et al., 2023), but the specific combination of these patterns, the GCP landing zone configuration, the NIST control mapping, the organizational model tailored to </w:t>
      </w:r>
      <w:r w:rsidRPr="00853FE4">
        <w:rPr>
          <w:color w:val="000000" w:themeColor="text1"/>
        </w:rPr>
        <w:lastRenderedPageBreak/>
        <w:t>NOAA Fisheries, has not been subjected to the test of practice. The gap between architectural specification and operational reality is well known in software engineering (Parnas, 1971), and readers should understand that the architecture described in this paper, however detailed, will reveal unforeseen challenges during implementation that no amount of architectural modeling can anticipate.</w:t>
      </w:r>
    </w:p>
    <w:p w14:paraId="73827268" w14:textId="77777777" w:rsidR="007D75A8" w:rsidRPr="00853FE4" w:rsidRDefault="007D75A8">
      <w:pPr>
        <w:pBdr>
          <w:top w:val="nil"/>
          <w:left w:val="nil"/>
          <w:bottom w:val="nil"/>
          <w:right w:val="nil"/>
          <w:between w:val="nil"/>
        </w:pBdr>
        <w:rPr>
          <w:color w:val="000000" w:themeColor="text1"/>
        </w:rPr>
      </w:pPr>
    </w:p>
    <w:p w14:paraId="6E6BF5A4" w14:textId="77777777" w:rsidR="007D75A8" w:rsidRPr="00853FE4" w:rsidRDefault="00000000">
      <w:pPr>
        <w:rPr>
          <w:color w:val="000000" w:themeColor="text1"/>
        </w:rPr>
      </w:pPr>
      <w:r w:rsidRPr="00853FE4">
        <w:rPr>
          <w:color w:val="000000" w:themeColor="text1"/>
        </w:rPr>
        <w:t>The second limitation concerns platform specificity. The architecture is instantiated using Google Cloud Platform services because NOAA Fisheries has adopted GCP as its primary cloud platform, and architecture that does not name specific services cannot provide the actionable implementation detail that architects and engineers require. The GCP-specific instantiation is therefore a deliberate design choice rather than an arbitrary selection: BigQuery, Cloud Storage, Cloud Run, Data Catalog, Dataplex, Cloud IAM, Cloud Interconnect, Cloud DLP, and the associated services catalogued in Section 5.3 reflect the actual platform environment within which a NOAA Fisheries implementation would occur. This specificity is a strength of the paper, but it is also a limitation, because the architectural patterns described here, domain decomposition, data product contracts, federated governance, are independent of any particular cloud platform, and the GCP-specific instantiation limits the direct applicability of the detailed</w:t>
      </w:r>
    </w:p>
    <w:p w14:paraId="3EBB8A24" w14:textId="77777777" w:rsidR="007D75A8" w:rsidRPr="00853FE4" w:rsidRDefault="00000000">
      <w:pPr>
        <w:rPr>
          <w:color w:val="000000" w:themeColor="text1"/>
        </w:rPr>
      </w:pPr>
      <w:r w:rsidRPr="00853FE4">
        <w:rPr>
          <w:color w:val="000000" w:themeColor="text1"/>
        </w:rPr>
        <w:t>architecture to organizations that use AWS, Azure, Oracle Cloud Infrastructure, or on-premises infrastructure. The underlying principles are transferable, but the specific resource hierarchy design, IAM role definitions, service catalog, and automation patterns described in Section 5.3 would require translation to the equivalent services and configuration patterns of other cloud providers.</w:t>
      </w:r>
    </w:p>
    <w:p w14:paraId="3BAF60C5" w14:textId="77777777" w:rsidR="007D75A8" w:rsidRPr="00853FE4" w:rsidRDefault="007D75A8">
      <w:pPr>
        <w:pBdr>
          <w:top w:val="nil"/>
          <w:left w:val="nil"/>
          <w:bottom w:val="nil"/>
          <w:right w:val="nil"/>
          <w:between w:val="nil"/>
        </w:pBdr>
        <w:rPr>
          <w:color w:val="000000" w:themeColor="text1"/>
        </w:rPr>
      </w:pPr>
    </w:p>
    <w:p w14:paraId="5220294D" w14:textId="77777777" w:rsidR="007D75A8" w:rsidRPr="00853FE4" w:rsidRDefault="00000000">
      <w:pPr>
        <w:rPr>
          <w:color w:val="000000" w:themeColor="text1"/>
        </w:rPr>
      </w:pPr>
      <w:r w:rsidRPr="00853FE4">
        <w:rPr>
          <w:color w:val="000000" w:themeColor="text1"/>
        </w:rPr>
        <w:t>The third limitation concerns organizational specificity. The domain decomposition, governance model, and migration strategy are tailored to the organizational structure of NOAA Fisheries as described in Section 2. While the analytical framework, domain-driven design applied to a regulatory context, is generalizable, the specific domain boundaries, the Fishery Monitoring domain, the Stock Assessment domain, the cross-cutting reference data products, and the governance council structure reflect an understanding of NOAA Fisheries organizational dynamics that may not transfer directly to other federal agencies with different missions, statutory frameworks, and organizational configurations. The paper's organizational recommendations are generalized from publicly available information about NOAA Fisheries structure and operations; specific NOAA Fisheries context, including internal policies, existing technology investments, collective bargaining considerations, and leadership priorities, may require adaptation that this paper cannot specify in advance.</w:t>
      </w:r>
    </w:p>
    <w:p w14:paraId="36DD509B" w14:textId="77777777" w:rsidR="007D75A8" w:rsidRPr="00853FE4" w:rsidRDefault="007D75A8">
      <w:pPr>
        <w:pBdr>
          <w:top w:val="nil"/>
          <w:left w:val="nil"/>
          <w:bottom w:val="nil"/>
          <w:right w:val="nil"/>
          <w:between w:val="nil"/>
        </w:pBdr>
        <w:rPr>
          <w:color w:val="000000" w:themeColor="text1"/>
        </w:rPr>
      </w:pPr>
    </w:p>
    <w:p w14:paraId="636A17C8" w14:textId="77777777" w:rsidR="007D75A8" w:rsidRPr="00853FE4" w:rsidRDefault="00000000">
      <w:pPr>
        <w:rPr>
          <w:color w:val="000000" w:themeColor="text1"/>
        </w:rPr>
      </w:pPr>
      <w:r w:rsidRPr="00853FE4">
        <w:rPr>
          <w:color w:val="000000" w:themeColor="text1"/>
        </w:rPr>
        <w:lastRenderedPageBreak/>
        <w:t>The fourth limitation concerns cost. The FinOps model described in Section 5.3 provides a cost attribution and governance framework, label-based cost center tracking, capital fund versus cost recovery delineation, committed use discounts, and monthly FinOps reviews. What it does not provide is a quantitative cost model. The paper does not estimate the total cost of ownership for the proposed architecture, the cost of platform infrastructure, the cost of domain data product development and operation, the cost of migration from legacy systems, or the cost of organizational change management and capability building. These costs depend on variables that a reference architecture cannot determine: the volume of data product consumption, the scale of BigQuery query throughput, the storage footprint of archival video and sensor data, the number of domain teams and data products, the complexity of legacy system integration, and the pace of adoption. The absence of cost modeling is not a defect of the architecture, it is a limitation of the reference architecture genre, which specifies what to build and how to build it, not what it will cost. Readers should understand that cost estimation requires a level of organizational specificity, data volume measurement, consumption pattern analysis, and adoption timeline modeling that lies beyond the scope of this paper. The FinOps framework provides a mechanism for cost governance once the architecture is operational; it does not predict what those costs will be.</w:t>
      </w:r>
    </w:p>
    <w:p w14:paraId="781F4CD0" w14:textId="77777777" w:rsidR="007D75A8" w:rsidRPr="00853FE4" w:rsidRDefault="007D75A8">
      <w:pPr>
        <w:pBdr>
          <w:top w:val="nil"/>
          <w:left w:val="nil"/>
          <w:bottom w:val="nil"/>
          <w:right w:val="nil"/>
          <w:between w:val="nil"/>
        </w:pBdr>
        <w:rPr>
          <w:color w:val="000000" w:themeColor="text1"/>
        </w:rPr>
      </w:pPr>
    </w:p>
    <w:p w14:paraId="63D2BCC0" w14:textId="77777777" w:rsidR="007D75A8" w:rsidRPr="00853FE4" w:rsidRDefault="00000000">
      <w:pPr>
        <w:rPr>
          <w:color w:val="000000" w:themeColor="text1"/>
        </w:rPr>
      </w:pPr>
      <w:r w:rsidRPr="00853FE4">
        <w:rPr>
          <w:color w:val="000000" w:themeColor="text1"/>
        </w:rPr>
        <w:t>These limitations do not diminish the value of the contribution, but they establish the boundaries within which that contribution should be evaluated. The architecture is a well-grounded starting point for implementation planning, not a finished implementation. It is specific enough to be actionable within a GCP environment and general enough in its principles to inform architectural thinking in other platform contexts. It is a reference point for organizational decision-making, not a substitute for the organizational learning that only implementation can provide.</w:t>
      </w:r>
    </w:p>
    <w:p w14:paraId="269FEEE3" w14:textId="77777777" w:rsidR="007D75A8" w:rsidRPr="00853FE4" w:rsidRDefault="00000000">
      <w:pPr>
        <w:pStyle w:val="Heading2"/>
        <w:rPr>
          <w:color w:val="000000" w:themeColor="text1"/>
        </w:rPr>
      </w:pPr>
      <w:bookmarkStart w:id="111" w:name="_5x6c9eso57ec" w:colFirst="0" w:colLast="0"/>
      <w:bookmarkEnd w:id="111"/>
      <w:r w:rsidRPr="00853FE4">
        <w:rPr>
          <w:color w:val="000000" w:themeColor="text1"/>
        </w:rPr>
        <w:t>9.3 Future Directions: AI and Machine Learning Integration</w:t>
      </w:r>
    </w:p>
    <w:p w14:paraId="609C4BD6" w14:textId="77777777" w:rsidR="007D75A8" w:rsidRPr="00853FE4" w:rsidRDefault="00000000">
      <w:pPr>
        <w:rPr>
          <w:color w:val="000000" w:themeColor="text1"/>
        </w:rPr>
      </w:pPr>
      <w:r w:rsidRPr="00853FE4">
        <w:rPr>
          <w:color w:val="000000" w:themeColor="text1"/>
        </w:rPr>
        <w:t>The Data Mesh Reference Architecture developed in this paper is designed for the data landscape as it exists today: structured analytical data products consumed by human domain scientists and program managers for stock assessments, quota monitoring, regulatory compliance, and fishery management decisions. It does not address a development that will increasingly shape the data architecture of any large organization: the integration of artificial intelligence and machine learning workloads into the data platform. This subsection identifies three promising directions in which a data mesh architecture can evolve to support AI and ML capabilities at scale, drawing on established patterns for enterprise AI adoption.</w:t>
      </w:r>
    </w:p>
    <w:p w14:paraId="6716349F" w14:textId="77777777" w:rsidR="007D75A8" w:rsidRPr="00853FE4" w:rsidRDefault="007D75A8">
      <w:pPr>
        <w:pBdr>
          <w:top w:val="nil"/>
          <w:left w:val="nil"/>
          <w:bottom w:val="nil"/>
          <w:right w:val="nil"/>
          <w:between w:val="nil"/>
        </w:pBdr>
        <w:rPr>
          <w:color w:val="000000" w:themeColor="text1"/>
        </w:rPr>
      </w:pPr>
    </w:p>
    <w:p w14:paraId="59ED9678" w14:textId="77777777" w:rsidR="007D75A8" w:rsidRPr="00853FE4" w:rsidRDefault="00000000">
      <w:pPr>
        <w:rPr>
          <w:color w:val="000000" w:themeColor="text1"/>
        </w:rPr>
      </w:pPr>
      <w:r w:rsidRPr="00853FE4">
        <w:rPr>
          <w:b/>
          <w:bCs/>
          <w:color w:val="000000" w:themeColor="text1"/>
        </w:rPr>
        <w:t>Data Products as Curated ML Training Sources.</w:t>
      </w:r>
      <w:r w:rsidRPr="00853FE4">
        <w:rPr>
          <w:color w:val="000000" w:themeColor="text1"/>
        </w:rPr>
        <w:t xml:space="preserve"> The data product model, with its emphasis on explicit data contracts, quality service level objectives, and discoverable metadata (Dehghani, 2022; Perrin &amp; Broda, 2024), is well suited to serve as the foundation for machine learning </w:t>
      </w:r>
      <w:r w:rsidRPr="00853FE4">
        <w:rPr>
          <w:color w:val="000000" w:themeColor="text1"/>
        </w:rPr>
        <w:lastRenderedPageBreak/>
        <w:t>training data pipelines. ML model development depends on training datasets that are discoverable, consistently formatted, quality-assured, and accompanied by lineage and provenance metadata. These are precisely the characteristics that data products are designed to provide. Perrin and Broda (2024) extend this logic further, arguing that AI models themselves should be elevated as primary artifacts within data products, bundled with documentation, notebooks, training provenance, and version history, and consumed as embedded transformation components rather than external adjuncts managed independently of the data they process. This integration ensures that the data product owner retains end-to-end accountability for both data quality and model behavior, simplifying governance and accelerating model iteration. In a mature data mesh, each data product's Data Catalog entry could include an ML readiness designation: a structured assessment of whether the product's schema, quality characteristics, temporal coverage, and access patterns are suitable for use as a training data source. Domain teams would not be required to produce data products for ML consumption, but data products that already meet quality and documentation standards could be made discoverable to ML practitioners through the federated catalog with minimal additional effort. The pipeline from data product to training dataset to model would then become a platform-supported workflow rather than an ad hoc extraction process.</w:t>
      </w:r>
    </w:p>
    <w:p w14:paraId="0AB26A37" w14:textId="77777777" w:rsidR="007D75A8" w:rsidRPr="00853FE4" w:rsidRDefault="007D75A8">
      <w:pPr>
        <w:pBdr>
          <w:top w:val="nil"/>
          <w:left w:val="nil"/>
          <w:bottom w:val="nil"/>
          <w:right w:val="nil"/>
          <w:between w:val="nil"/>
        </w:pBdr>
        <w:rPr>
          <w:color w:val="000000" w:themeColor="text1"/>
        </w:rPr>
      </w:pPr>
    </w:p>
    <w:p w14:paraId="79A173AE" w14:textId="77777777" w:rsidR="007D75A8" w:rsidRPr="00853FE4" w:rsidRDefault="00000000">
      <w:pPr>
        <w:rPr>
          <w:color w:val="000000" w:themeColor="text1"/>
        </w:rPr>
      </w:pPr>
      <w:r w:rsidRPr="00853FE4">
        <w:rPr>
          <w:b/>
          <w:bCs/>
          <w:color w:val="000000" w:themeColor="text1"/>
        </w:rPr>
        <w:t>Automated Data Quality Through Machine Learning.</w:t>
      </w:r>
      <w:r w:rsidRPr="00853FE4">
        <w:rPr>
          <w:color w:val="000000" w:themeColor="text1"/>
        </w:rPr>
        <w:t xml:space="preserve"> The data quality rules enforced by Dataplex in the proposed architecture (Section 5.3) are deterministic: species codes must exist in the AFS taxonomy, latitude values must fall within valid geographic ranges, trip dates must precede processing dates. These rules catch known error patterns, but they cannot detect anomalies that fall outside predefined rule boundaries. Machine learning offers a complementary capability: anomaly detection models trained on historical data product patterns can identify data points that, while not violating any explicit rule, deviate from expected distributions in ways that warrant human review. An EM data product could be augmented by an ML-based quality service that flags trip records where species composition differs significantly from historical patterns for that region and season, not as an error, but as a signal for domain expert verification. Similarly, image classification models trained on EM video footage could reduce the human effort required for species identification notings, a labor-intensive component of the EM workflow, by providing preliminary species identifications that human reviewers validate rather than initiate. These ML-augmented quality and efficiency improvements would be deployed as platform services, available to any domain team, rather than as bespoke solutions built independently by each domain.</w:t>
      </w:r>
    </w:p>
    <w:p w14:paraId="41DFC0CA" w14:textId="77777777" w:rsidR="007D75A8" w:rsidRPr="00853FE4" w:rsidRDefault="007D75A8">
      <w:pPr>
        <w:pBdr>
          <w:top w:val="nil"/>
          <w:left w:val="nil"/>
          <w:bottom w:val="nil"/>
          <w:right w:val="nil"/>
          <w:between w:val="nil"/>
        </w:pBdr>
        <w:rPr>
          <w:color w:val="000000" w:themeColor="text1"/>
        </w:rPr>
      </w:pPr>
    </w:p>
    <w:p w14:paraId="3FF3D27C" w14:textId="77777777" w:rsidR="007D75A8" w:rsidRPr="00853FE4" w:rsidRDefault="00000000">
      <w:pPr>
        <w:rPr>
          <w:color w:val="000000" w:themeColor="text1"/>
        </w:rPr>
      </w:pPr>
      <w:r w:rsidRPr="00853FE4">
        <w:rPr>
          <w:b/>
          <w:bCs/>
          <w:color w:val="000000" w:themeColor="text1"/>
        </w:rPr>
        <w:t>AI-Assisted Data Product Discovery and Composition.</w:t>
      </w:r>
      <w:r w:rsidRPr="00853FE4">
        <w:rPr>
          <w:color w:val="000000" w:themeColor="text1"/>
        </w:rPr>
        <w:t xml:space="preserve"> As the number of data products in a mesh grows, discovery through keyword search and tag browsing becomes insufficient. A </w:t>
      </w:r>
      <w:r w:rsidRPr="00853FE4">
        <w:rPr>
          <w:color w:val="000000" w:themeColor="text1"/>
        </w:rPr>
        <w:lastRenderedPageBreak/>
        <w:t>consumer domain scientist who needs to answer a novel research question, for example, understanding the relationship between sea surface temperature anomalies and fish stock distribution patterns across multiple fisheries, may not know which data products exist across the mesh that could support that analysis. AI-assisted discovery, powered by large language models and semantic search over data product metadata, could enable natural-language queries that return ranked, contextually relevant data product recommendations. Beyond discovery, AI could assist with data product composition, the task of identifying which data products can be joined, on what keys, to produce an integrated dataset that answers a specific analytical question. This capability would be particularly valuable in a scientific context where cross-domain analyses are common but the schemas and semantics of data products from different domains, Stock Assessment, Environmental Data, Fishery Monitoring, are not designed with cross-domain queries in mind.</w:t>
      </w:r>
    </w:p>
    <w:p w14:paraId="07DEB55E" w14:textId="77777777" w:rsidR="007D75A8" w:rsidRPr="00853FE4" w:rsidRDefault="007D75A8">
      <w:pPr>
        <w:pBdr>
          <w:top w:val="nil"/>
          <w:left w:val="nil"/>
          <w:bottom w:val="nil"/>
          <w:right w:val="nil"/>
          <w:between w:val="nil"/>
        </w:pBdr>
        <w:rPr>
          <w:color w:val="000000" w:themeColor="text1"/>
        </w:rPr>
      </w:pPr>
    </w:p>
    <w:p w14:paraId="05E09438" w14:textId="77777777" w:rsidR="007D75A8" w:rsidRPr="00853FE4" w:rsidRDefault="00000000">
      <w:pPr>
        <w:rPr>
          <w:color w:val="000000" w:themeColor="text1"/>
        </w:rPr>
      </w:pPr>
      <w:r w:rsidRPr="00853FE4">
        <w:rPr>
          <w:color w:val="000000" w:themeColor="text1"/>
        </w:rPr>
        <w:t>These three directions, data products as curated ML training sources, automated data quality through ML, and AI-assisted discovery and composition, share a common architectural characteristic: they extend the self-serve platform rather than requiring domain teams to build AI capabilities independently. The platform team adds ML-enabled services to the platform catalog, training data readiness assessment, anomaly detection, species classification, semantic search, natural-language discovery, and domain teams adopt them through the same self-serve model they use for other platform capabilities. This architecture preserves the domain autonomy at the core of the data mesh model while ensuring that AI capabilities are not fragmented across domains with varying technical maturity.</w:t>
      </w:r>
    </w:p>
    <w:p w14:paraId="13A2DD3F" w14:textId="77777777" w:rsidR="007D75A8" w:rsidRPr="00853FE4" w:rsidRDefault="007D75A8">
      <w:pPr>
        <w:pBdr>
          <w:top w:val="nil"/>
          <w:left w:val="nil"/>
          <w:bottom w:val="nil"/>
          <w:right w:val="nil"/>
          <w:between w:val="nil"/>
        </w:pBdr>
        <w:rPr>
          <w:color w:val="000000" w:themeColor="text1"/>
        </w:rPr>
      </w:pPr>
    </w:p>
    <w:p w14:paraId="6A0E7680" w14:textId="77777777" w:rsidR="007D75A8" w:rsidRPr="00853FE4" w:rsidRDefault="00000000">
      <w:pPr>
        <w:rPr>
          <w:color w:val="000000" w:themeColor="text1"/>
        </w:rPr>
      </w:pPr>
      <w:r w:rsidRPr="00853FE4">
        <w:rPr>
          <w:color w:val="000000" w:themeColor="text1"/>
        </w:rPr>
        <w:t>Perrin and Broda (2024) identify five concrete capabilities at the intersection of generative AI and data mesh: improving data quality through contract-governed training inputs, elevating models as primary data product artifacts, consuming models as embedded transformation components, generating data product code to accelerate development, and augmenting data product discovery through AI-generated metadata and semantic search. This analysis from within the data mesh community suggests that the evolution from a data mesh to an AI-augmented data mesh is not a departure from the architecture but a natural extension of the platform-as-product philosophy that underlies the self-serve principle. The data mesh architecture proposed in this paper provides precisely the data foundation, discoverable, quality-assured, contract-governed data products, that such an evolution would require. The platform services catalog would grow to include AI services alongside the data services described in Section 5.3, and the FinOps chargeback model would extend to attribute AI service consumption to the same cost centers that fund domain data product operations.</w:t>
      </w:r>
    </w:p>
    <w:p w14:paraId="47E50AAE" w14:textId="77777777" w:rsidR="007D75A8" w:rsidRPr="00853FE4" w:rsidRDefault="00000000">
      <w:pPr>
        <w:pStyle w:val="Heading2"/>
        <w:rPr>
          <w:color w:val="000000" w:themeColor="text1"/>
        </w:rPr>
      </w:pPr>
      <w:bookmarkStart w:id="112" w:name="_hpm9a870wz3k" w:colFirst="0" w:colLast="0"/>
      <w:bookmarkEnd w:id="112"/>
      <w:r w:rsidRPr="00853FE4">
        <w:rPr>
          <w:color w:val="000000" w:themeColor="text1"/>
        </w:rPr>
        <w:lastRenderedPageBreak/>
        <w:t>9.4 Future Directions: Public Data Consumption</w:t>
      </w:r>
    </w:p>
    <w:p w14:paraId="38D78A8E" w14:textId="77777777" w:rsidR="007D75A8" w:rsidRPr="00853FE4" w:rsidRDefault="00000000">
      <w:pPr>
        <w:rPr>
          <w:color w:val="000000" w:themeColor="text1"/>
        </w:rPr>
      </w:pPr>
      <w:r w:rsidRPr="00853FE4">
        <w:rPr>
          <w:color w:val="000000" w:themeColor="text1"/>
        </w:rPr>
        <w:t>The Data Mesh Reference Architecture developed in this paper is designed to serve NOAA Fisheries' internal data sharing needs, but a federal data architecture cannot be complete if it does not also serve the public good. Federal data is a public trust resource, and the architecture that manages it must enable public consumption as a first-order capability, not an afterthought. This subsection identifies how the data mesh architecture can serve as the foundation for public data consumption, delivering direct benefits to the fishing industry, the broader public, and the agency itself, while remaining consistent with the Administration's policy priorities for data modernization and regulatory efficiency.</w:t>
      </w:r>
    </w:p>
    <w:p w14:paraId="3FEB3F28" w14:textId="77777777" w:rsidR="007D75A8" w:rsidRPr="00853FE4" w:rsidRDefault="007D75A8">
      <w:pPr>
        <w:pBdr>
          <w:top w:val="nil"/>
          <w:left w:val="nil"/>
          <w:bottom w:val="nil"/>
          <w:right w:val="nil"/>
          <w:between w:val="nil"/>
        </w:pBdr>
        <w:rPr>
          <w:color w:val="000000" w:themeColor="text1"/>
        </w:rPr>
      </w:pPr>
    </w:p>
    <w:p w14:paraId="3EE2A5A4" w14:textId="77777777" w:rsidR="007D75A8" w:rsidRPr="00853FE4" w:rsidRDefault="00000000">
      <w:pPr>
        <w:rPr>
          <w:color w:val="000000" w:themeColor="text1"/>
        </w:rPr>
      </w:pPr>
      <w:r w:rsidRPr="00853FE4">
        <w:rPr>
          <w:color w:val="000000" w:themeColor="text1"/>
        </w:rPr>
        <w:t>The policy mandate for public data access is unambiguous. The OPEN Government Data Act, enacted as Title II of the Foundations for Evidence-Based Policymaking Act of 2018, establishes a presumption that government data should be open by default, published in machine-readable formats, and catalogued for public discovery. The Evidence Act requires federal agencies to maintain comprehensive data inventories and implement governance frameworks that support data access. Executive Order "Restoring American Seafood Competitiveness" (2025) directs NOAA Fisheries to modernize data collection and analytical practices, to improve the responsiveness of fisheries management to real-time ocean conditions, and to adopt "less expensive and more reliable technologies and cooperative research programs" in fishery assessments. These mandates reflect a policy posture in which government data infrastructure is not a bureaucratic back-office function but a public-facing capability that serves industry, researchers, and citizens. The Administration's expectation is that federal data should be as discoverable, accessible, and timely as the commercial services that the public uses daily.</w:t>
      </w:r>
    </w:p>
    <w:p w14:paraId="17F962B1" w14:textId="77777777" w:rsidR="007D75A8" w:rsidRPr="00853FE4" w:rsidRDefault="007D75A8">
      <w:pPr>
        <w:pBdr>
          <w:top w:val="nil"/>
          <w:left w:val="nil"/>
          <w:bottom w:val="nil"/>
          <w:right w:val="nil"/>
          <w:between w:val="nil"/>
        </w:pBdr>
        <w:rPr>
          <w:color w:val="000000" w:themeColor="text1"/>
        </w:rPr>
      </w:pPr>
    </w:p>
    <w:p w14:paraId="554BD92C" w14:textId="77777777" w:rsidR="007D75A8" w:rsidRPr="00853FE4" w:rsidRDefault="00000000">
      <w:pPr>
        <w:rPr>
          <w:color w:val="000000" w:themeColor="text1"/>
        </w:rPr>
      </w:pPr>
      <w:r w:rsidRPr="00853FE4">
        <w:rPr>
          <w:color w:val="000000" w:themeColor="text1"/>
        </w:rPr>
        <w:t xml:space="preserve">The public benefits of this approach extend across multiple constituencies. For the fishing industry, real-time access to quota consumption data means that vessel operators can plan trips knowing which fisheries remain open, which quotas are approaching closure, and how catch rates compare to prior seasons, rather than discovering at the dock that a fishery has been closed. Stock status data, including biomass trends, recruitment indices, and assessment summaries, enables long-term business planning: permit investments, vessel upgrades, market development, and participation in catch share programs all depend on forward visibility into the condition of the resource. For the broader public, open access to fisheries data provides transparency into how a public trust resource is managed. Citizens, advocacy organizations, academic researchers, and the press can independently verify that catch remains within scientifically established limits, that conservation measures are applied consistently, and that management decisions are grounded in the best scientific information available as required by MSA National Standard 2. Open data also enables innovation: third-party developers can build applications, dashboards, and analytical </w:t>
      </w:r>
      <w:r w:rsidRPr="00853FE4">
        <w:rPr>
          <w:color w:val="000000" w:themeColor="text1"/>
        </w:rPr>
        <w:lastRenderedPageBreak/>
        <w:t>tools on authoritative government data, creating value that the agency itself may not have the resources or mandate to produce. For the agency, proactive data publication reduces the burden of Freedom of Information Act requests. When the data most frequently requested through FOIA is already available through discoverable, machine-readable data products, request-driven disclosure becomes the exception rather than the norm, and agency staff can redirect time from records processing to data quality improvement and analytical support.</w:t>
      </w:r>
    </w:p>
    <w:p w14:paraId="59D741A7" w14:textId="77777777" w:rsidR="007D75A8" w:rsidRPr="00853FE4" w:rsidRDefault="007D75A8">
      <w:pPr>
        <w:pBdr>
          <w:top w:val="nil"/>
          <w:left w:val="nil"/>
          <w:bottom w:val="nil"/>
          <w:right w:val="nil"/>
          <w:between w:val="nil"/>
        </w:pBdr>
        <w:rPr>
          <w:color w:val="000000" w:themeColor="text1"/>
        </w:rPr>
      </w:pPr>
    </w:p>
    <w:p w14:paraId="31FE8740" w14:textId="77777777" w:rsidR="007D75A8" w:rsidRPr="00853FE4" w:rsidRDefault="00000000">
      <w:pPr>
        <w:rPr>
          <w:color w:val="000000" w:themeColor="text1"/>
        </w:rPr>
      </w:pPr>
      <w:r w:rsidRPr="00853FE4">
        <w:rPr>
          <w:color w:val="000000" w:themeColor="text1"/>
        </w:rPr>
        <w:t>The architectural challenge is that fisheries data is subject to simultaneous and opposing mandates. The OPEN Government Data Act presumes openness; MSA sec.402(b) mandates confidentiality for data that identifies individual fishing vessels, owners, operators, or crew members. Quota consumption data, to take the most industry-relevant example, is inherently both: the aggregated status of a fishery's quota (how many metric tons have been landed against a total allowable catch) is information the public has a right to know, while the landings of an individual vessel are confidential by statute. In the current fragmented architecture, this tension is often resolved by maintaining separate systems: an internal database for management and enforcement use, and a separate public portal populated by periodic data extracts. This duplication produces synchronization lag (the public portal may be days behind the internal system), quality inconsistencies, and ongoing engineering cost. A vessel operator checking quota status on a public portal may see outdated information, making operational decisions on stale data while fishery managers act on current data, a direct contradiction of the Administration's directive for responsiveness to real-time conditions. Moreover, when quota closures are challenged, the fact that the public-facing data differs from the internal data undermines confidence in the management process.</w:t>
      </w:r>
    </w:p>
    <w:p w14:paraId="0C976517" w14:textId="77777777" w:rsidR="007D75A8" w:rsidRPr="00853FE4" w:rsidRDefault="007D75A8">
      <w:pPr>
        <w:pBdr>
          <w:top w:val="nil"/>
          <w:left w:val="nil"/>
          <w:bottom w:val="nil"/>
          <w:right w:val="nil"/>
          <w:between w:val="nil"/>
        </w:pBdr>
        <w:rPr>
          <w:color w:val="000000" w:themeColor="text1"/>
        </w:rPr>
      </w:pPr>
    </w:p>
    <w:p w14:paraId="270DD7BB" w14:textId="77777777" w:rsidR="007D75A8" w:rsidRPr="00853FE4" w:rsidRDefault="00000000">
      <w:pPr>
        <w:rPr>
          <w:color w:val="000000" w:themeColor="text1"/>
        </w:rPr>
      </w:pPr>
      <w:r w:rsidRPr="00853FE4">
        <w:rPr>
          <w:color w:val="000000" w:themeColor="text1"/>
        </w:rPr>
        <w:t xml:space="preserve">A data mesh architecture resolves this tension through the same computational governance mechanisms described in Section 5.4. A "Fishery Quota Consumption" data product, owned by the Fishery Monitoring domain, can serve both internal and public consumers through a single BigQuery table with tiered, IAM-enforced access policies. The data product contract specifies two consumption interfaces: a public view, providing aggregated quota consumption by fishery, region, and stock, updated near real time, accessible through Data Catalog public entries with no authentication required, and an internal view, providing vessel-level landings detail for enforcement and compliance personnel, subject to MSA confidentiality controls enforced through row-level security. Both views are backed by the same data pipeline, governed by the same quality SLOs, and updated on the same schedule. The public sees exactly the data that managers use, on exactly the same timeline, with only the level of granularity differing. This pattern, a single authoritative data source supporting multiple consumption tiers through policy-governed access, directly implements the Administration's call for "less expensive and more </w:t>
      </w:r>
      <w:r w:rsidRPr="00853FE4">
        <w:rPr>
          <w:color w:val="000000" w:themeColor="text1"/>
        </w:rPr>
        <w:lastRenderedPageBreak/>
        <w:t>reliable technologies" by eliminating the separate public portal infrastructure and the synchronization processes it requires.</w:t>
      </w:r>
    </w:p>
    <w:p w14:paraId="5919F97F" w14:textId="77777777" w:rsidR="007D75A8" w:rsidRPr="00853FE4" w:rsidRDefault="007D75A8">
      <w:pPr>
        <w:pBdr>
          <w:top w:val="nil"/>
          <w:left w:val="nil"/>
          <w:bottom w:val="nil"/>
          <w:right w:val="nil"/>
          <w:between w:val="nil"/>
        </w:pBdr>
        <w:rPr>
          <w:color w:val="000000" w:themeColor="text1"/>
        </w:rPr>
      </w:pPr>
    </w:p>
    <w:p w14:paraId="548571CD" w14:textId="77777777" w:rsidR="007D75A8" w:rsidRPr="00853FE4" w:rsidRDefault="00000000">
      <w:pPr>
        <w:rPr>
          <w:color w:val="000000" w:themeColor="text1"/>
        </w:rPr>
      </w:pPr>
      <w:r w:rsidRPr="00853FE4">
        <w:rPr>
          <w:color w:val="000000" w:themeColor="text1"/>
        </w:rPr>
        <w:t>The same architectural pattern extends naturally to international data sharing contexts. Transboundary stock management, coordination with Regional Fishery Management Organizations, and illegal, unreported, and unregulated (IUU) fishing enforcement data sharing can all be implemented as additional access tiers on existing data products, each governed by its own data contract specifying schema, aggregation level, and permitted uses. The mechanism does not change; only the governance policy does. A data-sharing agreement with another nation becomes a data product contract with an "international partner" access tier, enforced through the same IAM conditions and audit logging that govern internal and public access. This is not a separate system, not a separate data pipeline, not a separate compliance burden. It is the same architecture operating at a different governance level, exactly as the federated computational governance principle envisions.</w:t>
      </w:r>
    </w:p>
    <w:p w14:paraId="1E6B9832" w14:textId="77777777" w:rsidR="007D75A8" w:rsidRPr="00853FE4" w:rsidRDefault="00000000">
      <w:pPr>
        <w:pStyle w:val="Heading1"/>
        <w:rPr>
          <w:color w:val="000000" w:themeColor="text1"/>
        </w:rPr>
      </w:pPr>
      <w:bookmarkStart w:id="113" w:name="_d4y9ivlyh1gy" w:colFirst="0" w:colLast="0"/>
      <w:bookmarkEnd w:id="113"/>
      <w:r w:rsidRPr="00853FE4">
        <w:rPr>
          <w:color w:val="000000" w:themeColor="text1"/>
        </w:rPr>
        <w:t>References</w:t>
      </w:r>
    </w:p>
    <w:p w14:paraId="20BA7E06" w14:textId="77777777" w:rsidR="007D75A8" w:rsidRPr="00853FE4" w:rsidRDefault="00000000">
      <w:pPr>
        <w:ind w:left="720" w:hanging="720"/>
        <w:rPr>
          <w:color w:val="000000" w:themeColor="text1"/>
        </w:rPr>
      </w:pPr>
      <w:r w:rsidRPr="00853FE4">
        <w:rPr>
          <w:color w:val="000000" w:themeColor="text1"/>
        </w:rPr>
        <w:t xml:space="preserve">Alger, B. (2020). </w:t>
      </w:r>
      <w:r w:rsidRPr="00853FE4">
        <w:rPr>
          <w:i/>
          <w:iCs/>
          <w:color w:val="000000" w:themeColor="text1"/>
        </w:rPr>
        <w:t>Third-party minimum data retention period in electronic monitoring programs for federally managed U.S. fisheries</w:t>
      </w:r>
      <w:r w:rsidRPr="00853FE4">
        <w:rPr>
          <w:color w:val="000000" w:themeColor="text1"/>
        </w:rPr>
        <w:t xml:space="preserve"> (NOAA Fisheries Procedure 04-115-03). National Marine Fisheries Service, Office of Science and Technology.</w:t>
      </w:r>
    </w:p>
    <w:p w14:paraId="2D816713" w14:textId="77777777" w:rsidR="007D75A8" w:rsidRPr="00853FE4" w:rsidRDefault="007D75A8">
      <w:pPr>
        <w:pBdr>
          <w:top w:val="nil"/>
          <w:left w:val="nil"/>
          <w:bottom w:val="nil"/>
          <w:right w:val="nil"/>
          <w:between w:val="nil"/>
        </w:pBdr>
        <w:ind w:left="720" w:hanging="720"/>
        <w:rPr>
          <w:color w:val="000000" w:themeColor="text1"/>
        </w:rPr>
      </w:pPr>
    </w:p>
    <w:p w14:paraId="585C14E6" w14:textId="77777777" w:rsidR="007D75A8" w:rsidRPr="00853FE4" w:rsidRDefault="00000000">
      <w:pPr>
        <w:ind w:left="720" w:hanging="720"/>
        <w:rPr>
          <w:color w:val="000000" w:themeColor="text1"/>
        </w:rPr>
      </w:pPr>
      <w:r w:rsidRPr="00853FE4">
        <w:rPr>
          <w:color w:val="000000" w:themeColor="text1"/>
        </w:rPr>
        <w:t xml:space="preserve">Beyer, K. (2024). </w:t>
      </w:r>
      <w:r w:rsidRPr="00853FE4">
        <w:rPr>
          <w:i/>
          <w:iCs/>
          <w:color w:val="000000" w:themeColor="text1"/>
        </w:rPr>
        <w:t>10 recommendations for a successful enterprise data mesh implementation</w:t>
      </w:r>
      <w:r w:rsidRPr="00853FE4">
        <w:rPr>
          <w:color w:val="000000" w:themeColor="text1"/>
        </w:rPr>
        <w:t xml:space="preserve">. Thoughtworks. </w:t>
      </w:r>
      <w:hyperlink r:id="rId8">
        <w:r w:rsidRPr="00853FE4">
          <w:rPr>
            <w:color w:val="000000" w:themeColor="text1"/>
            <w:u w:val="single"/>
          </w:rPr>
          <w:t>https://www.thoughtworks.com/en-us/insights/articles/recommendations-for-a-successful-data-mesh-implementation</w:t>
        </w:r>
      </w:hyperlink>
      <w:r w:rsidRPr="00853FE4">
        <w:rPr>
          <w:color w:val="000000" w:themeColor="text1"/>
        </w:rPr>
        <w:t xml:space="preserve"> </w:t>
      </w:r>
    </w:p>
    <w:p w14:paraId="5F9AA2F4" w14:textId="77777777" w:rsidR="007D75A8" w:rsidRPr="00853FE4" w:rsidRDefault="007D75A8">
      <w:pPr>
        <w:pBdr>
          <w:top w:val="nil"/>
          <w:left w:val="nil"/>
          <w:bottom w:val="nil"/>
          <w:right w:val="nil"/>
          <w:between w:val="nil"/>
        </w:pBdr>
        <w:ind w:left="720" w:hanging="720"/>
        <w:rPr>
          <w:color w:val="000000" w:themeColor="text1"/>
        </w:rPr>
      </w:pPr>
    </w:p>
    <w:p w14:paraId="4A6A5DF4" w14:textId="77777777" w:rsidR="007D75A8" w:rsidRPr="00853FE4" w:rsidRDefault="00000000">
      <w:pPr>
        <w:ind w:left="720" w:hanging="720"/>
        <w:rPr>
          <w:color w:val="000000" w:themeColor="text1"/>
        </w:rPr>
      </w:pPr>
      <w:r w:rsidRPr="00853FE4">
        <w:rPr>
          <w:color w:val="000000" w:themeColor="text1"/>
        </w:rPr>
        <w:t xml:space="preserve">Cartwright, I., Horn, R., &amp; Lewis, J. (2024). </w:t>
      </w:r>
      <w:r w:rsidRPr="00853FE4">
        <w:rPr>
          <w:i/>
          <w:iCs/>
          <w:color w:val="000000" w:themeColor="text1"/>
        </w:rPr>
        <w:t>Patterns of legacy displacement</w:t>
      </w:r>
      <w:r w:rsidRPr="00853FE4">
        <w:rPr>
          <w:color w:val="000000" w:themeColor="text1"/>
        </w:rPr>
        <w:t xml:space="preserve">. </w:t>
      </w:r>
      <w:r w:rsidRPr="00853FE4">
        <w:rPr>
          <w:i/>
          <w:iCs/>
          <w:color w:val="000000" w:themeColor="text1"/>
        </w:rPr>
        <w:t>Martin Fowler's website</w:t>
      </w:r>
      <w:r w:rsidRPr="00853FE4">
        <w:rPr>
          <w:color w:val="000000" w:themeColor="text1"/>
        </w:rPr>
        <w:t xml:space="preserve">. </w:t>
      </w:r>
      <w:hyperlink r:id="rId9">
        <w:r w:rsidRPr="00853FE4">
          <w:rPr>
            <w:color w:val="000000" w:themeColor="text1"/>
            <w:u w:val="single"/>
          </w:rPr>
          <w:t>https://martinfowler.com/articles/patterns-legacy-displacement/</w:t>
        </w:r>
      </w:hyperlink>
      <w:r w:rsidRPr="00853FE4">
        <w:rPr>
          <w:color w:val="000000" w:themeColor="text1"/>
        </w:rPr>
        <w:t xml:space="preserve"> </w:t>
      </w:r>
    </w:p>
    <w:p w14:paraId="6DA34862" w14:textId="77777777" w:rsidR="007D75A8" w:rsidRPr="00853FE4" w:rsidRDefault="007D75A8">
      <w:pPr>
        <w:pBdr>
          <w:top w:val="nil"/>
          <w:left w:val="nil"/>
          <w:bottom w:val="nil"/>
          <w:right w:val="nil"/>
          <w:between w:val="nil"/>
        </w:pBdr>
        <w:ind w:left="720" w:hanging="720"/>
        <w:rPr>
          <w:color w:val="000000" w:themeColor="text1"/>
        </w:rPr>
      </w:pPr>
    </w:p>
    <w:p w14:paraId="2C1CC346" w14:textId="77777777" w:rsidR="007D75A8" w:rsidRPr="00853FE4" w:rsidRDefault="00000000">
      <w:pPr>
        <w:ind w:left="720" w:hanging="720"/>
        <w:rPr>
          <w:color w:val="000000" w:themeColor="text1"/>
        </w:rPr>
      </w:pPr>
      <w:r w:rsidRPr="00853FE4">
        <w:rPr>
          <w:color w:val="000000" w:themeColor="text1"/>
        </w:rPr>
        <w:t xml:space="preserve">Castex, A. (2022, March 9). The L'Oréal Beauty Tech Data Platform: A data story of terabytes and serverless. CIO. </w:t>
      </w:r>
      <w:hyperlink r:id="rId10">
        <w:r w:rsidRPr="00853FE4">
          <w:rPr>
            <w:color w:val="000000" w:themeColor="text1"/>
            <w:u w:val="single"/>
          </w:rPr>
          <w:t>https://sustainablefuture.cio.com/building-on-intelligent-infrastructure/the-loreal-beauty-tech-data-platform-a-data-story-of-terabytes-and-serverless/</w:t>
        </w:r>
      </w:hyperlink>
      <w:r w:rsidRPr="00853FE4">
        <w:rPr>
          <w:color w:val="000000" w:themeColor="text1"/>
        </w:rPr>
        <w:t xml:space="preserve">  </w:t>
      </w:r>
    </w:p>
    <w:p w14:paraId="667C2F04" w14:textId="77777777" w:rsidR="007D75A8" w:rsidRPr="00853FE4" w:rsidRDefault="007D75A8">
      <w:pPr>
        <w:pBdr>
          <w:top w:val="nil"/>
          <w:left w:val="nil"/>
          <w:bottom w:val="nil"/>
          <w:right w:val="nil"/>
          <w:between w:val="nil"/>
        </w:pBdr>
        <w:ind w:left="720" w:hanging="720"/>
        <w:rPr>
          <w:color w:val="000000" w:themeColor="text1"/>
        </w:rPr>
      </w:pPr>
    </w:p>
    <w:p w14:paraId="45249D72" w14:textId="77777777" w:rsidR="007D75A8" w:rsidRPr="00853FE4" w:rsidRDefault="00000000">
      <w:pPr>
        <w:ind w:left="720" w:hanging="720"/>
        <w:rPr>
          <w:color w:val="000000" w:themeColor="text1"/>
        </w:rPr>
      </w:pPr>
      <w:r w:rsidRPr="00853FE4">
        <w:rPr>
          <w:color w:val="000000" w:themeColor="text1"/>
        </w:rPr>
        <w:t xml:space="preserve">Chandrasekaran, P. (2023). Embracing the Strangler Fig pattern for legacy modernization (Part I). Thoughtworks. </w:t>
      </w:r>
      <w:hyperlink r:id="rId11">
        <w:r w:rsidRPr="00853FE4">
          <w:rPr>
            <w:color w:val="000000" w:themeColor="text1"/>
            <w:u w:val="single"/>
          </w:rPr>
          <w:t>https://www.thoughtworks.com/en-us/insights/articles/embracing-strangler-fig-pattern-legacy-modernization-part-one</w:t>
        </w:r>
      </w:hyperlink>
      <w:r w:rsidRPr="00853FE4">
        <w:rPr>
          <w:color w:val="000000" w:themeColor="text1"/>
        </w:rPr>
        <w:t xml:space="preserve"> </w:t>
      </w:r>
    </w:p>
    <w:p w14:paraId="28B8F4F5" w14:textId="77777777" w:rsidR="007D75A8" w:rsidRPr="00853FE4" w:rsidRDefault="007D75A8">
      <w:pPr>
        <w:pBdr>
          <w:top w:val="nil"/>
          <w:left w:val="nil"/>
          <w:bottom w:val="nil"/>
          <w:right w:val="nil"/>
          <w:between w:val="nil"/>
        </w:pBdr>
        <w:ind w:left="720" w:hanging="720"/>
        <w:rPr>
          <w:color w:val="000000" w:themeColor="text1"/>
        </w:rPr>
      </w:pPr>
    </w:p>
    <w:p w14:paraId="5A9A2CF9" w14:textId="77777777" w:rsidR="007D75A8" w:rsidRPr="00853FE4" w:rsidRDefault="00000000">
      <w:pPr>
        <w:ind w:left="720" w:hanging="720"/>
        <w:rPr>
          <w:color w:val="000000" w:themeColor="text1"/>
        </w:rPr>
      </w:pPr>
      <w:r w:rsidRPr="00853FE4">
        <w:rPr>
          <w:color w:val="000000" w:themeColor="text1"/>
        </w:rPr>
        <w:lastRenderedPageBreak/>
        <w:t xml:space="preserve">Conway, M. E. (1968). How do committees invent? </w:t>
      </w:r>
      <w:r w:rsidRPr="00853FE4">
        <w:rPr>
          <w:i/>
          <w:iCs/>
          <w:color w:val="000000" w:themeColor="text1"/>
        </w:rPr>
        <w:t>Datamation</w:t>
      </w:r>
      <w:r w:rsidRPr="00853FE4">
        <w:rPr>
          <w:color w:val="000000" w:themeColor="text1"/>
        </w:rPr>
        <w:t xml:space="preserve">, </w:t>
      </w:r>
      <w:r w:rsidRPr="00853FE4">
        <w:rPr>
          <w:i/>
          <w:iCs/>
          <w:color w:val="000000" w:themeColor="text1"/>
        </w:rPr>
        <w:t>14</w:t>
      </w:r>
      <w:r w:rsidRPr="00853FE4">
        <w:rPr>
          <w:color w:val="000000" w:themeColor="text1"/>
        </w:rPr>
        <w:t>(4), 28–31.</w:t>
      </w:r>
    </w:p>
    <w:p w14:paraId="67BC41B8" w14:textId="77777777" w:rsidR="007D75A8" w:rsidRPr="00853FE4" w:rsidRDefault="007D75A8">
      <w:pPr>
        <w:pBdr>
          <w:top w:val="nil"/>
          <w:left w:val="nil"/>
          <w:bottom w:val="nil"/>
          <w:right w:val="nil"/>
          <w:between w:val="nil"/>
        </w:pBdr>
        <w:ind w:left="720" w:hanging="720"/>
        <w:rPr>
          <w:color w:val="000000" w:themeColor="text1"/>
        </w:rPr>
      </w:pPr>
    </w:p>
    <w:p w14:paraId="3C3213F3" w14:textId="77777777" w:rsidR="007D75A8" w:rsidRPr="00853FE4" w:rsidRDefault="00000000">
      <w:pPr>
        <w:ind w:left="720" w:hanging="720"/>
        <w:rPr>
          <w:color w:val="000000" w:themeColor="text1"/>
        </w:rPr>
      </w:pPr>
      <w:r w:rsidRPr="00853FE4">
        <w:rPr>
          <w:color w:val="000000" w:themeColor="text1"/>
        </w:rPr>
        <w:t xml:space="preserve">Dehghani, Z. (2019, May 20). How to move beyond a monolithic data lake to a distributed data mesh. </w:t>
      </w:r>
      <w:r w:rsidRPr="00853FE4">
        <w:rPr>
          <w:i/>
          <w:iCs/>
          <w:color w:val="000000" w:themeColor="text1"/>
        </w:rPr>
        <w:t>Martin Fowler's website</w:t>
      </w:r>
      <w:r w:rsidRPr="00853FE4">
        <w:rPr>
          <w:color w:val="000000" w:themeColor="text1"/>
        </w:rPr>
        <w:t xml:space="preserve">. </w:t>
      </w:r>
      <w:hyperlink r:id="rId12">
        <w:r w:rsidRPr="00853FE4">
          <w:rPr>
            <w:color w:val="000000" w:themeColor="text1"/>
            <w:u w:val="single"/>
          </w:rPr>
          <w:t>https://martinfowler.com/articles/data-monolith-to-mesh.html</w:t>
        </w:r>
      </w:hyperlink>
    </w:p>
    <w:p w14:paraId="68341E87" w14:textId="77777777" w:rsidR="007D75A8" w:rsidRPr="00853FE4" w:rsidRDefault="007D75A8">
      <w:pPr>
        <w:pBdr>
          <w:top w:val="nil"/>
          <w:left w:val="nil"/>
          <w:bottom w:val="nil"/>
          <w:right w:val="nil"/>
          <w:between w:val="nil"/>
        </w:pBdr>
        <w:ind w:left="720" w:hanging="720"/>
        <w:rPr>
          <w:color w:val="000000" w:themeColor="text1"/>
        </w:rPr>
      </w:pPr>
    </w:p>
    <w:p w14:paraId="3284054C" w14:textId="77777777" w:rsidR="007D75A8" w:rsidRPr="00853FE4" w:rsidRDefault="00000000">
      <w:pPr>
        <w:ind w:left="720" w:hanging="720"/>
        <w:rPr>
          <w:color w:val="000000" w:themeColor="text1"/>
        </w:rPr>
      </w:pPr>
      <w:r w:rsidRPr="00853FE4">
        <w:rPr>
          <w:color w:val="000000" w:themeColor="text1"/>
        </w:rPr>
        <w:t xml:space="preserve">Dehghani, Z. (2020, December 4). Data mesh principles and logical architecture. </w:t>
      </w:r>
      <w:r w:rsidRPr="00853FE4">
        <w:rPr>
          <w:i/>
          <w:iCs/>
          <w:color w:val="000000" w:themeColor="text1"/>
        </w:rPr>
        <w:t>Martin Fowler's website</w:t>
      </w:r>
      <w:r w:rsidRPr="00853FE4">
        <w:rPr>
          <w:color w:val="000000" w:themeColor="text1"/>
        </w:rPr>
        <w:t xml:space="preserve">. </w:t>
      </w:r>
      <w:hyperlink r:id="rId13">
        <w:r w:rsidRPr="00853FE4">
          <w:rPr>
            <w:color w:val="000000" w:themeColor="text1"/>
            <w:u w:val="single"/>
          </w:rPr>
          <w:t>https://martinfowler.com/articles/data-mesh-principles.html</w:t>
        </w:r>
      </w:hyperlink>
    </w:p>
    <w:p w14:paraId="0DCC0FCD" w14:textId="77777777" w:rsidR="007D75A8" w:rsidRPr="00853FE4" w:rsidRDefault="007D75A8">
      <w:pPr>
        <w:pBdr>
          <w:top w:val="nil"/>
          <w:left w:val="nil"/>
          <w:bottom w:val="nil"/>
          <w:right w:val="nil"/>
          <w:between w:val="nil"/>
        </w:pBdr>
        <w:ind w:left="720" w:hanging="720"/>
        <w:rPr>
          <w:color w:val="000000" w:themeColor="text1"/>
        </w:rPr>
      </w:pPr>
    </w:p>
    <w:p w14:paraId="6886E11F" w14:textId="77777777" w:rsidR="007D75A8" w:rsidRPr="00853FE4" w:rsidRDefault="00000000">
      <w:pPr>
        <w:ind w:left="720" w:hanging="720"/>
        <w:rPr>
          <w:color w:val="000000" w:themeColor="text1"/>
        </w:rPr>
      </w:pPr>
      <w:r w:rsidRPr="00853FE4">
        <w:rPr>
          <w:color w:val="000000" w:themeColor="text1"/>
        </w:rPr>
        <w:t xml:space="preserve">Dehghani, Z. (2022). </w:t>
      </w:r>
      <w:r w:rsidRPr="00853FE4">
        <w:rPr>
          <w:i/>
          <w:iCs/>
          <w:color w:val="000000" w:themeColor="text1"/>
        </w:rPr>
        <w:t>Data mesh: Delivering data-driven value at scale</w:t>
      </w:r>
      <w:r w:rsidRPr="00853FE4">
        <w:rPr>
          <w:color w:val="000000" w:themeColor="text1"/>
        </w:rPr>
        <w:t>. O'Reilly Media.</w:t>
      </w:r>
    </w:p>
    <w:p w14:paraId="19773E34" w14:textId="77777777" w:rsidR="007D75A8" w:rsidRPr="00853FE4" w:rsidRDefault="007D75A8">
      <w:pPr>
        <w:pBdr>
          <w:top w:val="nil"/>
          <w:left w:val="nil"/>
          <w:bottom w:val="nil"/>
          <w:right w:val="nil"/>
          <w:between w:val="nil"/>
        </w:pBdr>
        <w:ind w:left="720" w:hanging="720"/>
        <w:rPr>
          <w:color w:val="000000" w:themeColor="text1"/>
        </w:rPr>
      </w:pPr>
    </w:p>
    <w:p w14:paraId="0E99FF80" w14:textId="77777777" w:rsidR="007D75A8" w:rsidRPr="00853FE4" w:rsidRDefault="00000000">
      <w:pPr>
        <w:ind w:left="720" w:hanging="720"/>
        <w:rPr>
          <w:color w:val="000000" w:themeColor="text1"/>
        </w:rPr>
      </w:pPr>
      <w:r w:rsidRPr="00853FE4">
        <w:rPr>
          <w:color w:val="000000" w:themeColor="text1"/>
        </w:rPr>
        <w:t xml:space="preserve">Deshpande, M., &amp; Nanda, I. (2023). Empowering data programs: The five essential data engineering concepts. </w:t>
      </w:r>
      <w:r w:rsidRPr="00853FE4">
        <w:rPr>
          <w:i/>
          <w:iCs/>
          <w:color w:val="000000" w:themeColor="text1"/>
        </w:rPr>
        <w:t>Journal of Engineering and Applied Sciences Technology</w:t>
      </w:r>
      <w:r w:rsidRPr="00853FE4">
        <w:rPr>
          <w:color w:val="000000" w:themeColor="text1"/>
        </w:rPr>
        <w:t xml:space="preserve">, </w:t>
      </w:r>
      <w:r w:rsidRPr="00853FE4">
        <w:rPr>
          <w:i/>
          <w:iCs/>
          <w:color w:val="000000" w:themeColor="text1"/>
        </w:rPr>
        <w:t>5</w:t>
      </w:r>
      <w:r w:rsidRPr="00853FE4">
        <w:rPr>
          <w:color w:val="000000" w:themeColor="text1"/>
        </w:rPr>
        <w:t>(3), 1–8.</w:t>
      </w:r>
    </w:p>
    <w:p w14:paraId="44EB843A" w14:textId="77777777" w:rsidR="007D75A8" w:rsidRPr="00853FE4" w:rsidRDefault="007D75A8">
      <w:pPr>
        <w:pBdr>
          <w:top w:val="nil"/>
          <w:left w:val="nil"/>
          <w:bottom w:val="nil"/>
          <w:right w:val="nil"/>
          <w:between w:val="nil"/>
        </w:pBdr>
        <w:ind w:left="720" w:hanging="720"/>
        <w:rPr>
          <w:color w:val="000000" w:themeColor="text1"/>
        </w:rPr>
      </w:pPr>
    </w:p>
    <w:p w14:paraId="1A3C7DCA" w14:textId="77777777" w:rsidR="007D75A8" w:rsidRPr="00853FE4" w:rsidRDefault="00000000">
      <w:pPr>
        <w:ind w:left="720" w:hanging="720"/>
        <w:rPr>
          <w:color w:val="000000" w:themeColor="text1"/>
        </w:rPr>
      </w:pPr>
      <w:r w:rsidRPr="00853FE4">
        <w:rPr>
          <w:color w:val="000000" w:themeColor="text1"/>
        </w:rPr>
        <w:t xml:space="preserve">Evans, E. (2003). </w:t>
      </w:r>
      <w:r w:rsidRPr="00853FE4">
        <w:rPr>
          <w:i/>
          <w:iCs/>
          <w:color w:val="000000" w:themeColor="text1"/>
        </w:rPr>
        <w:t>Domain-driven design: Tackling complexity in the heart of software</w:t>
      </w:r>
      <w:r w:rsidRPr="00853FE4">
        <w:rPr>
          <w:color w:val="000000" w:themeColor="text1"/>
        </w:rPr>
        <w:t>. Addison-Wesley.</w:t>
      </w:r>
    </w:p>
    <w:p w14:paraId="1DB26442" w14:textId="77777777" w:rsidR="007D75A8" w:rsidRPr="00853FE4" w:rsidRDefault="007D75A8">
      <w:pPr>
        <w:pBdr>
          <w:top w:val="nil"/>
          <w:left w:val="nil"/>
          <w:bottom w:val="nil"/>
          <w:right w:val="nil"/>
          <w:between w:val="nil"/>
        </w:pBdr>
        <w:ind w:left="720" w:hanging="720"/>
        <w:rPr>
          <w:color w:val="000000" w:themeColor="text1"/>
        </w:rPr>
      </w:pPr>
    </w:p>
    <w:p w14:paraId="5FBD0274" w14:textId="77777777" w:rsidR="007D75A8" w:rsidRPr="00853FE4" w:rsidRDefault="00000000">
      <w:pPr>
        <w:ind w:left="720" w:hanging="720"/>
        <w:rPr>
          <w:color w:val="000000" w:themeColor="text1"/>
        </w:rPr>
      </w:pPr>
      <w:r w:rsidRPr="00853FE4">
        <w:rPr>
          <w:color w:val="000000" w:themeColor="text1"/>
        </w:rPr>
        <w:t xml:space="preserve">Executive Order No. 13921, 85 Fed. Reg. 28471 (May 7, 2020). Promoting American seafood competitiveness and economic growth. </w:t>
      </w:r>
      <w:hyperlink r:id="rId14">
        <w:r w:rsidRPr="00853FE4">
          <w:rPr>
            <w:color w:val="000000" w:themeColor="text1"/>
            <w:u w:val="single"/>
          </w:rPr>
          <w:t>https://www.federalregister.gov/documents/2020/05/12/2020-10315/promoting-american-seafood-competitiveness-and-economic-growth</w:t>
        </w:r>
      </w:hyperlink>
    </w:p>
    <w:p w14:paraId="71140B1B" w14:textId="77777777" w:rsidR="007D75A8" w:rsidRPr="00853FE4" w:rsidRDefault="007D75A8">
      <w:pPr>
        <w:pBdr>
          <w:top w:val="nil"/>
          <w:left w:val="nil"/>
          <w:bottom w:val="nil"/>
          <w:right w:val="nil"/>
          <w:between w:val="nil"/>
        </w:pBdr>
        <w:ind w:left="720" w:hanging="720"/>
        <w:rPr>
          <w:color w:val="000000" w:themeColor="text1"/>
        </w:rPr>
      </w:pPr>
    </w:p>
    <w:p w14:paraId="28FB0B63" w14:textId="77777777" w:rsidR="007D75A8" w:rsidRPr="00853FE4" w:rsidRDefault="00000000">
      <w:pPr>
        <w:ind w:left="720" w:hanging="720"/>
        <w:rPr>
          <w:color w:val="000000" w:themeColor="text1"/>
        </w:rPr>
      </w:pPr>
      <w:r w:rsidRPr="00853FE4">
        <w:rPr>
          <w:color w:val="000000" w:themeColor="text1"/>
        </w:rPr>
        <w:t xml:space="preserve">Executive Order of April 17, 2025. Restoring American seafood competitiveness. 90 Fed. Reg. 16293 (April 22, 2025). </w:t>
      </w:r>
      <w:hyperlink r:id="rId15">
        <w:r w:rsidRPr="00853FE4">
          <w:rPr>
            <w:color w:val="000000" w:themeColor="text1"/>
            <w:u w:val="single"/>
          </w:rPr>
          <w:t>https://www.federalregister.gov/documents/2025/04/22/2025-07062/restoring-american-seafood-competitiveness</w:t>
        </w:r>
      </w:hyperlink>
      <w:r w:rsidRPr="00853FE4">
        <w:rPr>
          <w:color w:val="000000" w:themeColor="text1"/>
        </w:rPr>
        <w:t xml:space="preserve"> </w:t>
      </w:r>
    </w:p>
    <w:p w14:paraId="41F0A31E" w14:textId="77777777" w:rsidR="007D75A8" w:rsidRPr="00853FE4" w:rsidRDefault="007D75A8">
      <w:pPr>
        <w:pBdr>
          <w:top w:val="nil"/>
          <w:left w:val="nil"/>
          <w:bottom w:val="nil"/>
          <w:right w:val="nil"/>
          <w:between w:val="nil"/>
        </w:pBdr>
        <w:ind w:left="720" w:hanging="720"/>
        <w:rPr>
          <w:color w:val="000000" w:themeColor="text1"/>
        </w:rPr>
      </w:pPr>
    </w:p>
    <w:p w14:paraId="47AE7AAF" w14:textId="77777777" w:rsidR="007D75A8" w:rsidRPr="00853FE4" w:rsidRDefault="00000000">
      <w:pPr>
        <w:ind w:left="720" w:hanging="720"/>
        <w:rPr>
          <w:color w:val="000000" w:themeColor="text1"/>
        </w:rPr>
      </w:pPr>
      <w:r w:rsidRPr="00853FE4">
        <w:rPr>
          <w:color w:val="000000" w:themeColor="text1"/>
        </w:rPr>
        <w:t xml:space="preserve">Fang, H. (2015). Managing data lakes in big data era: What's a data lake and why has it become popular in data management ecosystem. In </w:t>
      </w:r>
      <w:r w:rsidRPr="00853FE4">
        <w:rPr>
          <w:i/>
          <w:iCs/>
          <w:color w:val="000000" w:themeColor="text1"/>
        </w:rPr>
        <w:t>2015 IEEE International Conference on Cyber Technology in Automation, Control, and Intelligent Systems (CYBER)</w:t>
      </w:r>
      <w:r w:rsidRPr="00853FE4">
        <w:rPr>
          <w:color w:val="000000" w:themeColor="text1"/>
        </w:rPr>
        <w:t xml:space="preserve"> (pp. 820–824). IEEE. </w:t>
      </w:r>
      <w:hyperlink r:id="rId16">
        <w:r w:rsidRPr="00853FE4">
          <w:rPr>
            <w:color w:val="000000" w:themeColor="text1"/>
            <w:u w:val="single"/>
          </w:rPr>
          <w:t>https://doi.org/10.1109/CYBER.2015.7288049</w:t>
        </w:r>
      </w:hyperlink>
    </w:p>
    <w:p w14:paraId="0BA55BAD" w14:textId="77777777" w:rsidR="007D75A8" w:rsidRPr="00853FE4" w:rsidRDefault="007D75A8">
      <w:pPr>
        <w:pBdr>
          <w:top w:val="nil"/>
          <w:left w:val="nil"/>
          <w:bottom w:val="nil"/>
          <w:right w:val="nil"/>
          <w:between w:val="nil"/>
        </w:pBdr>
        <w:ind w:left="720" w:hanging="720"/>
        <w:rPr>
          <w:color w:val="000000" w:themeColor="text1"/>
        </w:rPr>
      </w:pPr>
    </w:p>
    <w:p w14:paraId="61BAB5FE" w14:textId="77777777" w:rsidR="007D75A8" w:rsidRPr="00853FE4" w:rsidRDefault="00000000">
      <w:pPr>
        <w:ind w:left="720" w:hanging="720"/>
        <w:rPr>
          <w:color w:val="000000" w:themeColor="text1"/>
        </w:rPr>
      </w:pPr>
      <w:r w:rsidRPr="00853FE4">
        <w:rPr>
          <w:color w:val="000000" w:themeColor="text1"/>
        </w:rPr>
        <w:t xml:space="preserve">Foundations for Evidence-Based Policymaking Act of 2018, Pub. L. No. 115-435, 132 Stat. 5529 (2019). </w:t>
      </w:r>
      <w:hyperlink r:id="rId17">
        <w:r w:rsidRPr="00853FE4">
          <w:rPr>
            <w:color w:val="000000" w:themeColor="text1"/>
            <w:u w:val="single"/>
          </w:rPr>
          <w:t>https://www.congress.gov/bill/115th-congress/house-bill/4174</w:t>
        </w:r>
      </w:hyperlink>
    </w:p>
    <w:p w14:paraId="52E4A950" w14:textId="77777777" w:rsidR="007D75A8" w:rsidRPr="00853FE4" w:rsidRDefault="007D75A8">
      <w:pPr>
        <w:pBdr>
          <w:top w:val="nil"/>
          <w:left w:val="nil"/>
          <w:bottom w:val="nil"/>
          <w:right w:val="nil"/>
          <w:between w:val="nil"/>
        </w:pBdr>
        <w:ind w:left="720" w:hanging="720"/>
        <w:rPr>
          <w:color w:val="000000" w:themeColor="text1"/>
        </w:rPr>
      </w:pPr>
    </w:p>
    <w:p w14:paraId="29404C50" w14:textId="77777777" w:rsidR="007D75A8" w:rsidRPr="00853FE4" w:rsidRDefault="00000000">
      <w:pPr>
        <w:ind w:left="720" w:hanging="720"/>
        <w:rPr>
          <w:color w:val="000000" w:themeColor="text1"/>
        </w:rPr>
      </w:pPr>
      <w:r w:rsidRPr="00853FE4">
        <w:rPr>
          <w:color w:val="000000" w:themeColor="text1"/>
        </w:rPr>
        <w:t xml:space="preserve">Google Cloud. (n.d.). </w:t>
      </w:r>
      <w:r w:rsidRPr="00853FE4">
        <w:rPr>
          <w:i/>
          <w:iCs/>
          <w:color w:val="000000" w:themeColor="text1"/>
        </w:rPr>
        <w:t>Google Cloud Adoption Framework</w:t>
      </w:r>
      <w:r w:rsidRPr="00853FE4">
        <w:rPr>
          <w:color w:val="000000" w:themeColor="text1"/>
        </w:rPr>
        <w:t xml:space="preserve">. Google Cloud. </w:t>
      </w:r>
      <w:hyperlink r:id="rId18">
        <w:r w:rsidRPr="00853FE4">
          <w:rPr>
            <w:color w:val="000000" w:themeColor="text1"/>
            <w:u w:val="single"/>
          </w:rPr>
          <w:t>https://cloud.google.com/adoption-framework</w:t>
        </w:r>
      </w:hyperlink>
    </w:p>
    <w:p w14:paraId="22BC6245" w14:textId="77777777" w:rsidR="007D75A8" w:rsidRPr="00853FE4" w:rsidRDefault="007D75A8">
      <w:pPr>
        <w:pBdr>
          <w:top w:val="nil"/>
          <w:left w:val="nil"/>
          <w:bottom w:val="nil"/>
          <w:right w:val="nil"/>
          <w:between w:val="nil"/>
        </w:pBdr>
        <w:ind w:left="720" w:hanging="720"/>
        <w:rPr>
          <w:color w:val="000000" w:themeColor="text1"/>
        </w:rPr>
      </w:pPr>
    </w:p>
    <w:p w14:paraId="3012B64D" w14:textId="77777777" w:rsidR="007D75A8" w:rsidRPr="00853FE4" w:rsidRDefault="00000000">
      <w:pPr>
        <w:ind w:left="720" w:hanging="720"/>
        <w:rPr>
          <w:color w:val="000000" w:themeColor="text1"/>
        </w:rPr>
      </w:pPr>
      <w:r w:rsidRPr="00853FE4">
        <w:rPr>
          <w:color w:val="000000" w:themeColor="text1"/>
        </w:rPr>
        <w:t xml:space="preserve">Google Cloud. (n.d.). </w:t>
      </w:r>
      <w:r w:rsidRPr="00853FE4">
        <w:rPr>
          <w:i/>
          <w:iCs/>
          <w:color w:val="000000" w:themeColor="text1"/>
        </w:rPr>
        <w:t>Google Cloud Well-Architected Framework</w:t>
      </w:r>
      <w:r w:rsidRPr="00853FE4">
        <w:rPr>
          <w:color w:val="000000" w:themeColor="text1"/>
        </w:rPr>
        <w:t xml:space="preserve">. Google Cloud. </w:t>
      </w:r>
      <w:hyperlink r:id="rId19">
        <w:r w:rsidRPr="00853FE4">
          <w:rPr>
            <w:color w:val="000000" w:themeColor="text1"/>
            <w:u w:val="single"/>
          </w:rPr>
          <w:t>https://cloud.google.com/architecture/framework</w:t>
        </w:r>
      </w:hyperlink>
    </w:p>
    <w:p w14:paraId="58E87B84" w14:textId="77777777" w:rsidR="007D75A8" w:rsidRPr="00853FE4" w:rsidRDefault="007D75A8">
      <w:pPr>
        <w:pBdr>
          <w:top w:val="nil"/>
          <w:left w:val="nil"/>
          <w:bottom w:val="nil"/>
          <w:right w:val="nil"/>
          <w:between w:val="nil"/>
        </w:pBdr>
        <w:ind w:left="720" w:hanging="720"/>
        <w:rPr>
          <w:color w:val="000000" w:themeColor="text1"/>
        </w:rPr>
      </w:pPr>
    </w:p>
    <w:p w14:paraId="69D76518" w14:textId="77777777" w:rsidR="007D75A8" w:rsidRPr="00853FE4" w:rsidRDefault="00000000">
      <w:pPr>
        <w:ind w:left="720" w:hanging="720"/>
        <w:rPr>
          <w:color w:val="000000" w:themeColor="text1"/>
        </w:rPr>
      </w:pPr>
      <w:r w:rsidRPr="00853FE4">
        <w:rPr>
          <w:color w:val="000000" w:themeColor="text1"/>
        </w:rPr>
        <w:t xml:space="preserve">Google Cloud. (n.d.). </w:t>
      </w:r>
      <w:r w:rsidRPr="00853FE4">
        <w:rPr>
          <w:i/>
          <w:iCs/>
          <w:color w:val="000000" w:themeColor="text1"/>
        </w:rPr>
        <w:t>NatWest Markets: Assuring reliable, compliant, high-quality data with on-demand reporting</w:t>
      </w:r>
      <w:r w:rsidRPr="00853FE4">
        <w:rPr>
          <w:color w:val="000000" w:themeColor="text1"/>
        </w:rPr>
        <w:t xml:space="preserve">. Google Cloud. </w:t>
      </w:r>
      <w:hyperlink r:id="rId20">
        <w:r w:rsidRPr="00853FE4">
          <w:rPr>
            <w:color w:val="000000" w:themeColor="text1"/>
            <w:u w:val="single"/>
          </w:rPr>
          <w:t>https://cloud.google.com/customers/natwest-markets-dataplex?hl=en</w:t>
        </w:r>
      </w:hyperlink>
      <w:r w:rsidRPr="00853FE4">
        <w:rPr>
          <w:color w:val="000000" w:themeColor="text1"/>
        </w:rPr>
        <w:t xml:space="preserve"> </w:t>
      </w:r>
    </w:p>
    <w:p w14:paraId="074E4A60" w14:textId="77777777" w:rsidR="007D75A8" w:rsidRPr="00853FE4" w:rsidRDefault="007D75A8">
      <w:pPr>
        <w:pBdr>
          <w:top w:val="nil"/>
          <w:left w:val="nil"/>
          <w:bottom w:val="nil"/>
          <w:right w:val="nil"/>
          <w:between w:val="nil"/>
        </w:pBdr>
        <w:ind w:left="720" w:hanging="720"/>
        <w:rPr>
          <w:color w:val="000000" w:themeColor="text1"/>
        </w:rPr>
      </w:pPr>
    </w:p>
    <w:p w14:paraId="6187F3A1" w14:textId="77777777" w:rsidR="007D75A8" w:rsidRPr="00853FE4" w:rsidRDefault="00000000">
      <w:pPr>
        <w:ind w:left="720" w:hanging="720"/>
        <w:rPr>
          <w:color w:val="000000" w:themeColor="text1"/>
        </w:rPr>
      </w:pPr>
      <w:r w:rsidRPr="00853FE4">
        <w:rPr>
          <w:color w:val="000000" w:themeColor="text1"/>
        </w:rPr>
        <w:t xml:space="preserve">Gafoor, A., Murdoch, I., &amp; Prakash, K. (2022). Data Mesh in practice: Getting off to the right start. Thoughtworks. </w:t>
      </w:r>
      <w:hyperlink r:id="rId21">
        <w:r w:rsidRPr="00853FE4">
          <w:rPr>
            <w:color w:val="000000" w:themeColor="text1"/>
            <w:u w:val="single"/>
          </w:rPr>
          <w:t>https://www.thoughtworks.com/insights/articles/data-mesh-in-practice-getting-off-to-the-right-start</w:t>
        </w:r>
      </w:hyperlink>
    </w:p>
    <w:p w14:paraId="379A4E84" w14:textId="77777777" w:rsidR="007D75A8" w:rsidRPr="00853FE4" w:rsidRDefault="007D75A8">
      <w:pPr>
        <w:pBdr>
          <w:top w:val="nil"/>
          <w:left w:val="nil"/>
          <w:bottom w:val="nil"/>
          <w:right w:val="nil"/>
          <w:between w:val="nil"/>
        </w:pBdr>
        <w:ind w:left="720" w:hanging="720"/>
        <w:rPr>
          <w:color w:val="000000" w:themeColor="text1"/>
        </w:rPr>
      </w:pPr>
    </w:p>
    <w:p w14:paraId="35C2EE6D" w14:textId="77777777" w:rsidR="007D75A8" w:rsidRPr="00853FE4" w:rsidRDefault="00000000">
      <w:pPr>
        <w:ind w:left="720" w:hanging="720"/>
        <w:rPr>
          <w:color w:val="000000" w:themeColor="text1"/>
        </w:rPr>
      </w:pPr>
      <w:r w:rsidRPr="00853FE4">
        <w:rPr>
          <w:color w:val="000000" w:themeColor="text1"/>
        </w:rPr>
        <w:t xml:space="preserve">Gafoor, A., Murdoch, I., &amp; Prakash, K. (2022). Data Mesh in practice: Organizational operating model (Part II). Thoughtworks. </w:t>
      </w:r>
      <w:hyperlink r:id="rId22">
        <w:r w:rsidRPr="00853FE4">
          <w:rPr>
            <w:color w:val="000000" w:themeColor="text1"/>
            <w:u w:val="single"/>
          </w:rPr>
          <w:t>https://www.thoughtworks.com/en-us/insights/articles/data-mesh-in-practice-organizational-operating-model</w:t>
        </w:r>
      </w:hyperlink>
      <w:r w:rsidRPr="00853FE4">
        <w:rPr>
          <w:color w:val="000000" w:themeColor="text1"/>
        </w:rPr>
        <w:t xml:space="preserve"> </w:t>
      </w:r>
    </w:p>
    <w:p w14:paraId="1241A896" w14:textId="77777777" w:rsidR="007D75A8" w:rsidRPr="00853FE4" w:rsidRDefault="007D75A8">
      <w:pPr>
        <w:pBdr>
          <w:top w:val="nil"/>
          <w:left w:val="nil"/>
          <w:bottom w:val="nil"/>
          <w:right w:val="nil"/>
          <w:between w:val="nil"/>
        </w:pBdr>
        <w:ind w:left="720" w:hanging="720"/>
        <w:rPr>
          <w:color w:val="000000" w:themeColor="text1"/>
        </w:rPr>
      </w:pPr>
    </w:p>
    <w:p w14:paraId="7BED45ED" w14:textId="77777777" w:rsidR="007D75A8" w:rsidRPr="00853FE4" w:rsidRDefault="00000000">
      <w:pPr>
        <w:ind w:left="720" w:hanging="720"/>
        <w:rPr>
          <w:color w:val="000000" w:themeColor="text1"/>
        </w:rPr>
      </w:pPr>
      <w:r w:rsidRPr="00853FE4">
        <w:rPr>
          <w:color w:val="000000" w:themeColor="text1"/>
        </w:rPr>
        <w:t xml:space="preserve">Gafoor, A., Murdoch, I., &amp; Prakash, K. (2022). Data Mesh in practice: Product thinking and development (Part III). Thoughtworks. </w:t>
      </w:r>
      <w:hyperlink r:id="rId23">
        <w:r w:rsidRPr="00853FE4">
          <w:rPr>
            <w:color w:val="000000" w:themeColor="text1"/>
            <w:u w:val="single"/>
          </w:rPr>
          <w:t>https://www.thoughtworks.com/en-us/insights/articles/data-mesh-in-practice-product-thinking-and-development</w:t>
        </w:r>
      </w:hyperlink>
      <w:r w:rsidRPr="00853FE4">
        <w:rPr>
          <w:color w:val="000000" w:themeColor="text1"/>
        </w:rPr>
        <w:t xml:space="preserve"> </w:t>
      </w:r>
    </w:p>
    <w:p w14:paraId="58A08138" w14:textId="77777777" w:rsidR="007D75A8" w:rsidRPr="00853FE4" w:rsidRDefault="007D75A8">
      <w:pPr>
        <w:pBdr>
          <w:top w:val="nil"/>
          <w:left w:val="nil"/>
          <w:bottom w:val="nil"/>
          <w:right w:val="nil"/>
          <w:between w:val="nil"/>
        </w:pBdr>
        <w:ind w:left="720" w:hanging="720"/>
        <w:rPr>
          <w:color w:val="000000" w:themeColor="text1"/>
        </w:rPr>
      </w:pPr>
    </w:p>
    <w:p w14:paraId="208A1F62" w14:textId="77777777" w:rsidR="007D75A8" w:rsidRPr="00853FE4" w:rsidRDefault="00000000">
      <w:pPr>
        <w:ind w:left="720" w:hanging="720"/>
        <w:rPr>
          <w:color w:val="000000" w:themeColor="text1"/>
        </w:rPr>
      </w:pPr>
      <w:r w:rsidRPr="00853FE4">
        <w:rPr>
          <w:color w:val="000000" w:themeColor="text1"/>
        </w:rPr>
        <w:t xml:space="preserve">Gafoor, A., Murdoch, I., &amp; Prakash, K. (2022). Data Mesh in practice: Technology and the architecture (Part IV). Thoughtworks. </w:t>
      </w:r>
      <w:hyperlink r:id="rId24">
        <w:r w:rsidRPr="00853FE4">
          <w:rPr>
            <w:color w:val="000000" w:themeColor="text1"/>
            <w:u w:val="single"/>
          </w:rPr>
          <w:t>https://www.thoughtworks.com/en-us/insights/articles/data-mesh-in-practice-technology-and-the-architecture</w:t>
        </w:r>
      </w:hyperlink>
      <w:r w:rsidRPr="00853FE4">
        <w:rPr>
          <w:color w:val="000000" w:themeColor="text1"/>
        </w:rPr>
        <w:t xml:space="preserve"> </w:t>
      </w:r>
    </w:p>
    <w:p w14:paraId="6DE2A480" w14:textId="77777777" w:rsidR="007D75A8" w:rsidRPr="00853FE4" w:rsidRDefault="007D75A8">
      <w:pPr>
        <w:pBdr>
          <w:top w:val="nil"/>
          <w:left w:val="nil"/>
          <w:bottom w:val="nil"/>
          <w:right w:val="nil"/>
          <w:between w:val="nil"/>
        </w:pBdr>
        <w:ind w:left="720" w:hanging="720"/>
        <w:rPr>
          <w:color w:val="000000" w:themeColor="text1"/>
        </w:rPr>
      </w:pPr>
    </w:p>
    <w:p w14:paraId="2ACDC1A8" w14:textId="77777777" w:rsidR="007D75A8" w:rsidRPr="00853FE4" w:rsidRDefault="00000000">
      <w:pPr>
        <w:ind w:left="720" w:hanging="720"/>
        <w:rPr>
          <w:color w:val="000000" w:themeColor="text1"/>
        </w:rPr>
      </w:pPr>
      <w:r w:rsidRPr="00853FE4">
        <w:rPr>
          <w:color w:val="000000" w:themeColor="text1"/>
        </w:rPr>
        <w:t xml:space="preserve">Goedegebuure, A., van Deursen, A., Klint, P., Storm, T., &amp; Vinju, J. (2023). Data mesh: A systematic gray literature review. </w:t>
      </w:r>
      <w:r w:rsidRPr="00853FE4">
        <w:rPr>
          <w:i/>
          <w:iCs/>
          <w:color w:val="000000" w:themeColor="text1"/>
        </w:rPr>
        <w:t>ACM Computing Surveys</w:t>
      </w:r>
      <w:r w:rsidRPr="00853FE4">
        <w:rPr>
          <w:color w:val="000000" w:themeColor="text1"/>
        </w:rPr>
        <w:t xml:space="preserve">. </w:t>
      </w:r>
      <w:hyperlink r:id="rId25">
        <w:r w:rsidRPr="00853FE4">
          <w:rPr>
            <w:color w:val="000000" w:themeColor="text1"/>
            <w:u w:val="single"/>
          </w:rPr>
          <w:t>https://dl.acm.org/doi/10.1145/3687301</w:t>
        </w:r>
      </w:hyperlink>
      <w:r w:rsidRPr="00853FE4">
        <w:rPr>
          <w:color w:val="000000" w:themeColor="text1"/>
        </w:rPr>
        <w:t xml:space="preserve"> </w:t>
      </w:r>
    </w:p>
    <w:p w14:paraId="328B06F3" w14:textId="77777777" w:rsidR="007D75A8" w:rsidRPr="00853FE4" w:rsidRDefault="007D75A8">
      <w:pPr>
        <w:pBdr>
          <w:top w:val="nil"/>
          <w:left w:val="nil"/>
          <w:bottom w:val="nil"/>
          <w:right w:val="nil"/>
          <w:between w:val="nil"/>
        </w:pBdr>
        <w:ind w:left="720" w:hanging="720"/>
        <w:rPr>
          <w:color w:val="000000" w:themeColor="text1"/>
        </w:rPr>
      </w:pPr>
    </w:p>
    <w:p w14:paraId="1A96659B" w14:textId="77777777" w:rsidR="007D75A8" w:rsidRPr="00853FE4" w:rsidRDefault="00000000">
      <w:pPr>
        <w:ind w:left="720" w:hanging="720"/>
        <w:rPr>
          <w:color w:val="000000" w:themeColor="text1"/>
        </w:rPr>
      </w:pPr>
      <w:r w:rsidRPr="00853FE4">
        <w:rPr>
          <w:color w:val="000000" w:themeColor="text1"/>
        </w:rPr>
        <w:t xml:space="preserve">Herbsleb, J. D., &amp; Grinter, R. E. (1999). Architectures, coordination, and distance: Conway's Law and beyond. </w:t>
      </w:r>
      <w:r w:rsidRPr="00853FE4">
        <w:rPr>
          <w:i/>
          <w:iCs/>
          <w:color w:val="000000" w:themeColor="text1"/>
        </w:rPr>
        <w:t>IEEE Software</w:t>
      </w:r>
      <w:r w:rsidRPr="00853FE4">
        <w:rPr>
          <w:color w:val="000000" w:themeColor="text1"/>
        </w:rPr>
        <w:t xml:space="preserve">, </w:t>
      </w:r>
      <w:r w:rsidRPr="00853FE4">
        <w:rPr>
          <w:i/>
          <w:iCs/>
          <w:color w:val="000000" w:themeColor="text1"/>
        </w:rPr>
        <w:t>16</w:t>
      </w:r>
      <w:r w:rsidRPr="00853FE4">
        <w:rPr>
          <w:color w:val="000000" w:themeColor="text1"/>
        </w:rPr>
        <w:t xml:space="preserve">(5), 63–70. </w:t>
      </w:r>
      <w:hyperlink r:id="rId26">
        <w:r w:rsidRPr="00853FE4">
          <w:rPr>
            <w:color w:val="000000" w:themeColor="text1"/>
            <w:u w:val="single"/>
          </w:rPr>
          <w:t>https://doi.org/10.1109/52.795103</w:t>
        </w:r>
      </w:hyperlink>
    </w:p>
    <w:p w14:paraId="16C4B02C" w14:textId="77777777" w:rsidR="007D75A8" w:rsidRPr="00853FE4" w:rsidRDefault="007D75A8">
      <w:pPr>
        <w:pBdr>
          <w:top w:val="nil"/>
          <w:left w:val="nil"/>
          <w:bottom w:val="nil"/>
          <w:right w:val="nil"/>
          <w:between w:val="nil"/>
        </w:pBdr>
        <w:ind w:left="720" w:hanging="720"/>
        <w:rPr>
          <w:color w:val="000000" w:themeColor="text1"/>
        </w:rPr>
      </w:pPr>
    </w:p>
    <w:p w14:paraId="12A738B1" w14:textId="77777777" w:rsidR="007D75A8" w:rsidRPr="00853FE4" w:rsidRDefault="00000000">
      <w:pPr>
        <w:ind w:left="720" w:hanging="720"/>
        <w:rPr>
          <w:color w:val="000000" w:themeColor="text1"/>
        </w:rPr>
      </w:pPr>
      <w:r w:rsidRPr="00853FE4">
        <w:rPr>
          <w:color w:val="000000" w:themeColor="text1"/>
        </w:rPr>
        <w:t xml:space="preserve">Inmon, W. H. (2005). </w:t>
      </w:r>
      <w:r w:rsidRPr="00853FE4">
        <w:rPr>
          <w:i/>
          <w:iCs/>
          <w:color w:val="000000" w:themeColor="text1"/>
        </w:rPr>
        <w:t>Building the data warehouse</w:t>
      </w:r>
      <w:r w:rsidRPr="00853FE4">
        <w:rPr>
          <w:color w:val="000000" w:themeColor="text1"/>
        </w:rPr>
        <w:t xml:space="preserve"> (4th ed.). Wiley.</w:t>
      </w:r>
    </w:p>
    <w:p w14:paraId="34369453" w14:textId="77777777" w:rsidR="007D75A8" w:rsidRPr="00853FE4" w:rsidRDefault="007D75A8">
      <w:pPr>
        <w:pBdr>
          <w:top w:val="nil"/>
          <w:left w:val="nil"/>
          <w:bottom w:val="nil"/>
          <w:right w:val="nil"/>
          <w:between w:val="nil"/>
        </w:pBdr>
        <w:ind w:left="720" w:hanging="720"/>
        <w:rPr>
          <w:color w:val="000000" w:themeColor="text1"/>
        </w:rPr>
      </w:pPr>
    </w:p>
    <w:p w14:paraId="2CE50C92" w14:textId="77777777" w:rsidR="007D75A8" w:rsidRPr="00853FE4" w:rsidRDefault="00000000">
      <w:pPr>
        <w:ind w:left="720" w:hanging="720"/>
        <w:rPr>
          <w:color w:val="000000" w:themeColor="text1"/>
        </w:rPr>
      </w:pPr>
      <w:r w:rsidRPr="00853FE4">
        <w:rPr>
          <w:color w:val="000000" w:themeColor="text1"/>
        </w:rPr>
        <w:t xml:space="preserve">Joint Task Force. (2018). </w:t>
      </w:r>
      <w:r w:rsidRPr="00853FE4">
        <w:rPr>
          <w:i/>
          <w:iCs/>
          <w:color w:val="000000" w:themeColor="text1"/>
        </w:rPr>
        <w:t>Risk management framework for information systems and organizations: A system life cycle approach for security and privacy</w:t>
      </w:r>
      <w:r w:rsidRPr="00853FE4">
        <w:rPr>
          <w:color w:val="000000" w:themeColor="text1"/>
        </w:rPr>
        <w:t xml:space="preserve"> (NIST Special Publication 800-37, Revision 2). National Institute of Standards and Technology. </w:t>
      </w:r>
      <w:hyperlink r:id="rId27">
        <w:r w:rsidRPr="00853FE4">
          <w:rPr>
            <w:color w:val="000000" w:themeColor="text1"/>
            <w:u w:val="single"/>
          </w:rPr>
          <w:t>https://doi.org/10.6028/NIST.SP.800-37r2</w:t>
        </w:r>
      </w:hyperlink>
    </w:p>
    <w:p w14:paraId="6A1FFD66" w14:textId="77777777" w:rsidR="007D75A8" w:rsidRPr="00853FE4" w:rsidRDefault="007D75A8">
      <w:pPr>
        <w:pBdr>
          <w:top w:val="nil"/>
          <w:left w:val="nil"/>
          <w:bottom w:val="nil"/>
          <w:right w:val="nil"/>
          <w:between w:val="nil"/>
        </w:pBdr>
        <w:ind w:left="720" w:hanging="720"/>
        <w:rPr>
          <w:color w:val="000000" w:themeColor="text1"/>
        </w:rPr>
      </w:pPr>
    </w:p>
    <w:p w14:paraId="68493361" w14:textId="77777777" w:rsidR="007D75A8" w:rsidRPr="00853FE4" w:rsidRDefault="00000000">
      <w:pPr>
        <w:ind w:left="720" w:hanging="720"/>
        <w:rPr>
          <w:color w:val="000000" w:themeColor="text1"/>
        </w:rPr>
      </w:pPr>
      <w:r w:rsidRPr="00853FE4">
        <w:rPr>
          <w:color w:val="000000" w:themeColor="text1"/>
        </w:rPr>
        <w:t xml:space="preserve">Joint Task Force. (2020). </w:t>
      </w:r>
      <w:r w:rsidRPr="00853FE4">
        <w:rPr>
          <w:i/>
          <w:iCs/>
          <w:color w:val="000000" w:themeColor="text1"/>
        </w:rPr>
        <w:t>Security and privacy controls for information systems and organizations</w:t>
      </w:r>
      <w:r w:rsidRPr="00853FE4">
        <w:rPr>
          <w:color w:val="000000" w:themeColor="text1"/>
        </w:rPr>
        <w:t xml:space="preserve"> (NIST Special Publication 800-53, Revision 5). National Institute of Standards and Technology. </w:t>
      </w:r>
      <w:hyperlink r:id="rId28">
        <w:r w:rsidRPr="00853FE4">
          <w:rPr>
            <w:color w:val="000000" w:themeColor="text1"/>
            <w:u w:val="single"/>
          </w:rPr>
          <w:t>https://doi.org/10.6028/NIST.SP.800-53r5</w:t>
        </w:r>
      </w:hyperlink>
    </w:p>
    <w:p w14:paraId="5B44FDB5" w14:textId="77777777" w:rsidR="007D75A8" w:rsidRPr="00853FE4" w:rsidRDefault="007D75A8">
      <w:pPr>
        <w:pBdr>
          <w:top w:val="nil"/>
          <w:left w:val="nil"/>
          <w:bottom w:val="nil"/>
          <w:right w:val="nil"/>
          <w:between w:val="nil"/>
        </w:pBdr>
        <w:ind w:left="720" w:hanging="720"/>
        <w:rPr>
          <w:color w:val="000000" w:themeColor="text1"/>
        </w:rPr>
      </w:pPr>
    </w:p>
    <w:p w14:paraId="00C5F10F" w14:textId="77777777" w:rsidR="007D75A8" w:rsidRPr="00853FE4" w:rsidRDefault="00000000">
      <w:pPr>
        <w:ind w:left="720" w:hanging="720"/>
        <w:rPr>
          <w:color w:val="000000" w:themeColor="text1"/>
        </w:rPr>
      </w:pPr>
      <w:r w:rsidRPr="00853FE4">
        <w:rPr>
          <w:color w:val="000000" w:themeColor="text1"/>
        </w:rPr>
        <w:t xml:space="preserve">Kimball, R., &amp; Ross, M. (2013). </w:t>
      </w:r>
      <w:r w:rsidRPr="00853FE4">
        <w:rPr>
          <w:i/>
          <w:iCs/>
          <w:color w:val="000000" w:themeColor="text1"/>
        </w:rPr>
        <w:t>The data warehouse toolkit: The definitive guide to dimensional modeling</w:t>
      </w:r>
      <w:r w:rsidRPr="00853FE4">
        <w:rPr>
          <w:color w:val="000000" w:themeColor="text1"/>
        </w:rPr>
        <w:t xml:space="preserve"> (3rd ed.). Wiley.</w:t>
      </w:r>
    </w:p>
    <w:p w14:paraId="44BD79EE" w14:textId="77777777" w:rsidR="007D75A8" w:rsidRPr="00853FE4" w:rsidRDefault="007D75A8">
      <w:pPr>
        <w:pBdr>
          <w:top w:val="nil"/>
          <w:left w:val="nil"/>
          <w:bottom w:val="nil"/>
          <w:right w:val="nil"/>
          <w:between w:val="nil"/>
        </w:pBdr>
        <w:ind w:left="720" w:hanging="720"/>
        <w:rPr>
          <w:color w:val="000000" w:themeColor="text1"/>
        </w:rPr>
      </w:pPr>
    </w:p>
    <w:p w14:paraId="33FB831E" w14:textId="77777777" w:rsidR="007D75A8" w:rsidRPr="00853FE4" w:rsidRDefault="00000000">
      <w:pPr>
        <w:ind w:left="720" w:hanging="720"/>
        <w:rPr>
          <w:color w:val="000000" w:themeColor="text1"/>
        </w:rPr>
      </w:pPr>
      <w:r w:rsidRPr="00853FE4">
        <w:rPr>
          <w:color w:val="000000" w:themeColor="text1"/>
        </w:rPr>
        <w:t xml:space="preserve">Linthicum, D. (2023). </w:t>
      </w:r>
      <w:r w:rsidRPr="00853FE4">
        <w:rPr>
          <w:i/>
          <w:iCs/>
          <w:color w:val="000000" w:themeColor="text1"/>
        </w:rPr>
        <w:t>An insider's guide to cloud computing</w:t>
      </w:r>
      <w:r w:rsidRPr="00853FE4">
        <w:rPr>
          <w:color w:val="000000" w:themeColor="text1"/>
        </w:rPr>
        <w:t>. Addison-Wesley.</w:t>
      </w:r>
    </w:p>
    <w:p w14:paraId="52E1EB2A" w14:textId="77777777" w:rsidR="007D75A8" w:rsidRPr="00853FE4" w:rsidRDefault="007D75A8">
      <w:pPr>
        <w:pBdr>
          <w:top w:val="nil"/>
          <w:left w:val="nil"/>
          <w:bottom w:val="nil"/>
          <w:right w:val="nil"/>
          <w:between w:val="nil"/>
        </w:pBdr>
        <w:ind w:left="720" w:hanging="720"/>
        <w:rPr>
          <w:color w:val="000000" w:themeColor="text1"/>
        </w:rPr>
      </w:pPr>
    </w:p>
    <w:p w14:paraId="40079F39" w14:textId="77777777" w:rsidR="007D75A8" w:rsidRPr="00853FE4" w:rsidRDefault="00000000">
      <w:pPr>
        <w:ind w:left="720" w:hanging="720"/>
        <w:rPr>
          <w:color w:val="000000" w:themeColor="text1"/>
        </w:rPr>
      </w:pPr>
      <w:r w:rsidRPr="00853FE4">
        <w:rPr>
          <w:color w:val="000000" w:themeColor="text1"/>
        </w:rPr>
        <w:t xml:space="preserve">Liu, F., Tong, J., Mao, J., Bohn, R., Messina, J., Badger, L., &amp; Leaf, D. (2011). </w:t>
      </w:r>
      <w:r w:rsidRPr="00853FE4">
        <w:rPr>
          <w:i/>
          <w:iCs/>
          <w:color w:val="000000" w:themeColor="text1"/>
        </w:rPr>
        <w:t>NIST cloud computing reference architecture</w:t>
      </w:r>
      <w:r w:rsidRPr="00853FE4">
        <w:rPr>
          <w:color w:val="000000" w:themeColor="text1"/>
        </w:rPr>
        <w:t xml:space="preserve"> (NIST Special Publication 500-292). National Institute of Standards and Technology. </w:t>
      </w:r>
      <w:hyperlink r:id="rId29">
        <w:r w:rsidRPr="00853FE4">
          <w:rPr>
            <w:color w:val="000000" w:themeColor="text1"/>
            <w:u w:val="single"/>
          </w:rPr>
          <w:t>https://doi.org/10.6028/NIST.SP.500-292</w:t>
        </w:r>
      </w:hyperlink>
    </w:p>
    <w:p w14:paraId="7F7415EF" w14:textId="77777777" w:rsidR="007D75A8" w:rsidRPr="00853FE4" w:rsidRDefault="007D75A8">
      <w:pPr>
        <w:pBdr>
          <w:top w:val="nil"/>
          <w:left w:val="nil"/>
          <w:bottom w:val="nil"/>
          <w:right w:val="nil"/>
          <w:between w:val="nil"/>
        </w:pBdr>
        <w:ind w:left="720" w:hanging="720"/>
        <w:rPr>
          <w:color w:val="000000" w:themeColor="text1"/>
        </w:rPr>
      </w:pPr>
    </w:p>
    <w:p w14:paraId="237A75ED" w14:textId="77777777" w:rsidR="007D75A8" w:rsidRPr="00853FE4" w:rsidRDefault="00000000">
      <w:pPr>
        <w:ind w:left="720" w:hanging="720"/>
        <w:rPr>
          <w:color w:val="000000" w:themeColor="text1"/>
        </w:rPr>
      </w:pPr>
      <w:r w:rsidRPr="00853FE4">
        <w:rPr>
          <w:color w:val="000000" w:themeColor="text1"/>
        </w:rPr>
        <w:t xml:space="preserve">Magnuson-Stevens Fishery Conservation and Management Act, 16 U.S.C. §§ 1801–1891d (2007). </w:t>
      </w:r>
      <w:hyperlink r:id="rId30">
        <w:r w:rsidRPr="00853FE4">
          <w:rPr>
            <w:color w:val="000000" w:themeColor="text1"/>
            <w:u w:val="single"/>
          </w:rPr>
          <w:t>https://www.fisheries.noaa.gov/resource/document/magnuson-stevens-fishery-conservation-and-management-act</w:t>
        </w:r>
      </w:hyperlink>
    </w:p>
    <w:p w14:paraId="2C0AC191" w14:textId="77777777" w:rsidR="007D75A8" w:rsidRPr="00853FE4" w:rsidRDefault="007D75A8">
      <w:pPr>
        <w:pBdr>
          <w:top w:val="nil"/>
          <w:left w:val="nil"/>
          <w:bottom w:val="nil"/>
          <w:right w:val="nil"/>
          <w:between w:val="nil"/>
        </w:pBdr>
        <w:ind w:left="720" w:hanging="720"/>
        <w:rPr>
          <w:color w:val="000000" w:themeColor="text1"/>
        </w:rPr>
      </w:pPr>
    </w:p>
    <w:p w14:paraId="33B0A18E" w14:textId="77777777" w:rsidR="007D75A8" w:rsidRPr="00853FE4" w:rsidRDefault="00000000">
      <w:pPr>
        <w:ind w:left="720" w:hanging="720"/>
        <w:rPr>
          <w:color w:val="000000" w:themeColor="text1"/>
        </w:rPr>
      </w:pPr>
      <w:r w:rsidRPr="00853FE4">
        <w:rPr>
          <w:color w:val="000000" w:themeColor="text1"/>
        </w:rPr>
        <w:t xml:space="preserve">Nagappan, N., Murphy, B., &amp; Basili, V. (2008). The influence of organizational structure on software quality: An empirical case study. In </w:t>
      </w:r>
      <w:r w:rsidRPr="00853FE4">
        <w:rPr>
          <w:i/>
          <w:iCs/>
          <w:color w:val="000000" w:themeColor="text1"/>
        </w:rPr>
        <w:t>Proceedings of the 30th International Conference on Software Engineering (ICSE '08)</w:t>
      </w:r>
      <w:r w:rsidRPr="00853FE4">
        <w:rPr>
          <w:color w:val="000000" w:themeColor="text1"/>
        </w:rPr>
        <w:t xml:space="preserve"> (pp. 521–530). ACM. </w:t>
      </w:r>
      <w:hyperlink r:id="rId31">
        <w:r w:rsidRPr="00853FE4">
          <w:rPr>
            <w:color w:val="000000" w:themeColor="text1"/>
            <w:u w:val="single"/>
          </w:rPr>
          <w:t>https://doi.org/10.1145/1368088.1368160</w:t>
        </w:r>
      </w:hyperlink>
    </w:p>
    <w:p w14:paraId="1A32A22D" w14:textId="77777777" w:rsidR="007D75A8" w:rsidRPr="00853FE4" w:rsidRDefault="007D75A8">
      <w:pPr>
        <w:pBdr>
          <w:top w:val="nil"/>
          <w:left w:val="nil"/>
          <w:bottom w:val="nil"/>
          <w:right w:val="nil"/>
          <w:between w:val="nil"/>
        </w:pBdr>
        <w:ind w:left="720" w:hanging="720"/>
        <w:rPr>
          <w:color w:val="000000" w:themeColor="text1"/>
        </w:rPr>
      </w:pPr>
    </w:p>
    <w:p w14:paraId="238446CE" w14:textId="77777777" w:rsidR="007D75A8" w:rsidRPr="00853FE4" w:rsidRDefault="00000000">
      <w:pPr>
        <w:ind w:left="720" w:hanging="720"/>
        <w:rPr>
          <w:color w:val="000000" w:themeColor="text1"/>
        </w:rPr>
      </w:pPr>
      <w:r w:rsidRPr="00853FE4">
        <w:rPr>
          <w:color w:val="000000" w:themeColor="text1"/>
        </w:rPr>
        <w:t xml:space="preserve">National Archives and Records Administration. (2020). </w:t>
      </w:r>
      <w:r w:rsidRPr="00853FE4">
        <w:rPr>
          <w:i/>
          <w:iCs/>
          <w:color w:val="000000" w:themeColor="text1"/>
        </w:rPr>
        <w:t>Request for records disposition authority: Electronic monitoring pre-processed files</w:t>
      </w:r>
      <w:r w:rsidRPr="00853FE4">
        <w:rPr>
          <w:color w:val="000000" w:themeColor="text1"/>
        </w:rPr>
        <w:t xml:space="preserve"> (Records Schedule DAA-0370-2020-0001). NARA Office of the Chief Records Officer.</w:t>
      </w:r>
    </w:p>
    <w:p w14:paraId="249D17FE" w14:textId="77777777" w:rsidR="007D75A8" w:rsidRPr="00853FE4" w:rsidRDefault="007D75A8">
      <w:pPr>
        <w:pBdr>
          <w:top w:val="nil"/>
          <w:left w:val="nil"/>
          <w:bottom w:val="nil"/>
          <w:right w:val="nil"/>
          <w:between w:val="nil"/>
        </w:pBdr>
        <w:ind w:left="720" w:hanging="720"/>
        <w:rPr>
          <w:color w:val="000000" w:themeColor="text1"/>
        </w:rPr>
      </w:pPr>
    </w:p>
    <w:p w14:paraId="39AE25DE" w14:textId="77777777" w:rsidR="007D75A8" w:rsidRPr="00853FE4" w:rsidRDefault="00000000">
      <w:pPr>
        <w:ind w:left="720" w:hanging="720"/>
        <w:rPr>
          <w:color w:val="000000" w:themeColor="text1"/>
        </w:rPr>
      </w:pPr>
      <w:r w:rsidRPr="00853FE4">
        <w:rPr>
          <w:color w:val="000000" w:themeColor="text1"/>
        </w:rPr>
        <w:t xml:space="preserve">Newman, S. (2015). </w:t>
      </w:r>
      <w:r w:rsidRPr="00853FE4">
        <w:rPr>
          <w:i/>
          <w:iCs/>
          <w:color w:val="000000" w:themeColor="text1"/>
        </w:rPr>
        <w:t>Building microservices: Designing fine-grained systems</w:t>
      </w:r>
      <w:r w:rsidRPr="00853FE4">
        <w:rPr>
          <w:color w:val="000000" w:themeColor="text1"/>
        </w:rPr>
        <w:t>. O'Reilly Media.</w:t>
      </w:r>
    </w:p>
    <w:p w14:paraId="68EF9122" w14:textId="77777777" w:rsidR="007D75A8" w:rsidRPr="00853FE4" w:rsidRDefault="007D75A8">
      <w:pPr>
        <w:pBdr>
          <w:top w:val="nil"/>
          <w:left w:val="nil"/>
          <w:bottom w:val="nil"/>
          <w:right w:val="nil"/>
          <w:between w:val="nil"/>
        </w:pBdr>
        <w:ind w:left="720" w:hanging="720"/>
        <w:rPr>
          <w:color w:val="000000" w:themeColor="text1"/>
        </w:rPr>
      </w:pPr>
    </w:p>
    <w:p w14:paraId="499FBD3D" w14:textId="77777777" w:rsidR="007D75A8" w:rsidRPr="00853FE4" w:rsidRDefault="00000000">
      <w:pPr>
        <w:ind w:left="720" w:hanging="720"/>
        <w:rPr>
          <w:color w:val="000000" w:themeColor="text1"/>
        </w:rPr>
      </w:pPr>
      <w:r w:rsidRPr="00853FE4">
        <w:rPr>
          <w:color w:val="000000" w:themeColor="text1"/>
        </w:rPr>
        <w:t xml:space="preserve">OPEN Government Data Act, Pub. L. No. 115-435, Title II (2019). </w:t>
      </w:r>
      <w:hyperlink r:id="rId32">
        <w:r w:rsidRPr="00853FE4">
          <w:rPr>
            <w:color w:val="000000" w:themeColor="text1"/>
            <w:u w:val="single"/>
          </w:rPr>
          <w:t>https://www.congress.gov/bill/115th-congress/house-bill/4174</w:t>
        </w:r>
      </w:hyperlink>
    </w:p>
    <w:p w14:paraId="102B989E" w14:textId="77777777" w:rsidR="007D75A8" w:rsidRPr="00853FE4" w:rsidRDefault="007D75A8">
      <w:pPr>
        <w:pBdr>
          <w:top w:val="nil"/>
          <w:left w:val="nil"/>
          <w:bottom w:val="nil"/>
          <w:right w:val="nil"/>
          <w:between w:val="nil"/>
        </w:pBdr>
        <w:ind w:left="720" w:hanging="720"/>
        <w:rPr>
          <w:color w:val="000000" w:themeColor="text1"/>
        </w:rPr>
      </w:pPr>
    </w:p>
    <w:p w14:paraId="738A9580" w14:textId="77777777" w:rsidR="007D75A8" w:rsidRPr="00853FE4" w:rsidRDefault="00000000">
      <w:pPr>
        <w:ind w:left="720" w:hanging="720"/>
        <w:rPr>
          <w:color w:val="000000" w:themeColor="text1"/>
        </w:rPr>
      </w:pPr>
      <w:r w:rsidRPr="00853FE4">
        <w:rPr>
          <w:color w:val="000000" w:themeColor="text1"/>
        </w:rPr>
        <w:t xml:space="preserve">Parnas, D. L. (1971). </w:t>
      </w:r>
      <w:r w:rsidRPr="00853FE4">
        <w:rPr>
          <w:i/>
          <w:iCs/>
          <w:color w:val="000000" w:themeColor="text1"/>
        </w:rPr>
        <w:t>On the criteria to be used in decomposing systems into modules</w:t>
      </w:r>
      <w:r w:rsidRPr="00853FE4">
        <w:rPr>
          <w:color w:val="000000" w:themeColor="text1"/>
        </w:rPr>
        <w:t xml:space="preserve"> (Technical Report). Carnegie Mellon University.</w:t>
      </w:r>
    </w:p>
    <w:p w14:paraId="269640DE" w14:textId="77777777" w:rsidR="007D75A8" w:rsidRPr="00853FE4" w:rsidRDefault="007D75A8">
      <w:pPr>
        <w:pBdr>
          <w:top w:val="nil"/>
          <w:left w:val="nil"/>
          <w:bottom w:val="nil"/>
          <w:right w:val="nil"/>
          <w:between w:val="nil"/>
        </w:pBdr>
        <w:ind w:left="720" w:hanging="720"/>
        <w:rPr>
          <w:color w:val="000000" w:themeColor="text1"/>
        </w:rPr>
      </w:pPr>
    </w:p>
    <w:p w14:paraId="6D4357BE" w14:textId="77777777" w:rsidR="007D75A8" w:rsidRPr="00853FE4" w:rsidRDefault="00000000">
      <w:pPr>
        <w:ind w:left="720" w:hanging="720"/>
        <w:rPr>
          <w:color w:val="000000" w:themeColor="text1"/>
        </w:rPr>
      </w:pPr>
      <w:r w:rsidRPr="00853FE4">
        <w:rPr>
          <w:color w:val="000000" w:themeColor="text1"/>
        </w:rPr>
        <w:t xml:space="preserve">Perrin, J.-G., &amp; Broda, E. (2024). </w:t>
      </w:r>
      <w:r w:rsidRPr="00853FE4">
        <w:rPr>
          <w:i/>
          <w:iCs/>
          <w:color w:val="000000" w:themeColor="text1"/>
        </w:rPr>
        <w:t>Implementing data mesh: Design, build, and implement data contracts, data products, and data mesh</w:t>
      </w:r>
      <w:r w:rsidRPr="00853FE4">
        <w:rPr>
          <w:color w:val="000000" w:themeColor="text1"/>
        </w:rPr>
        <w:t>. O'Reilly Media.</w:t>
      </w:r>
    </w:p>
    <w:p w14:paraId="4B89FEB9" w14:textId="77777777" w:rsidR="007D75A8" w:rsidRPr="00853FE4" w:rsidRDefault="007D75A8">
      <w:pPr>
        <w:pBdr>
          <w:top w:val="nil"/>
          <w:left w:val="nil"/>
          <w:bottom w:val="nil"/>
          <w:right w:val="nil"/>
          <w:between w:val="nil"/>
        </w:pBdr>
        <w:ind w:left="720" w:hanging="720"/>
        <w:rPr>
          <w:color w:val="000000" w:themeColor="text1"/>
        </w:rPr>
      </w:pPr>
    </w:p>
    <w:p w14:paraId="07FDCBDD" w14:textId="77777777" w:rsidR="007D75A8" w:rsidRPr="00853FE4" w:rsidRDefault="00000000">
      <w:pPr>
        <w:ind w:left="720" w:hanging="720"/>
        <w:rPr>
          <w:color w:val="000000" w:themeColor="text1"/>
        </w:rPr>
      </w:pPr>
      <w:r w:rsidRPr="00853FE4">
        <w:rPr>
          <w:color w:val="000000" w:themeColor="text1"/>
        </w:rPr>
        <w:t xml:space="preserve">Steinegger, R. H., Giessler, P., Hippchen, B., &amp; Abeck, S. (2017). Overview of a domain-driven design approach to build microservice-based applications. In </w:t>
      </w:r>
      <w:r w:rsidRPr="00853FE4">
        <w:rPr>
          <w:i/>
          <w:iCs/>
          <w:color w:val="000000" w:themeColor="text1"/>
        </w:rPr>
        <w:t>SOFTENG 2017: The Third International Conference on Advances and Trends in Software Engineering</w:t>
      </w:r>
      <w:r w:rsidRPr="00853FE4">
        <w:rPr>
          <w:color w:val="000000" w:themeColor="text1"/>
        </w:rPr>
        <w:t xml:space="preserve"> (pp. 41–47). IARIA.</w:t>
      </w:r>
    </w:p>
    <w:p w14:paraId="2E8289CB" w14:textId="77777777" w:rsidR="007D75A8" w:rsidRPr="00853FE4" w:rsidRDefault="007D75A8">
      <w:pPr>
        <w:pBdr>
          <w:top w:val="nil"/>
          <w:left w:val="nil"/>
          <w:bottom w:val="nil"/>
          <w:right w:val="nil"/>
          <w:between w:val="nil"/>
        </w:pBdr>
        <w:ind w:left="720" w:hanging="720"/>
        <w:rPr>
          <w:color w:val="000000" w:themeColor="text1"/>
        </w:rPr>
      </w:pPr>
    </w:p>
    <w:p w14:paraId="60ED068A" w14:textId="77777777" w:rsidR="007D75A8" w:rsidRPr="00853FE4" w:rsidRDefault="00000000">
      <w:pPr>
        <w:ind w:left="720" w:hanging="720"/>
        <w:rPr>
          <w:color w:val="000000" w:themeColor="text1"/>
        </w:rPr>
      </w:pPr>
      <w:r w:rsidRPr="00853FE4">
        <w:rPr>
          <w:color w:val="000000" w:themeColor="text1"/>
        </w:rPr>
        <w:t xml:space="preserve">Wallace, R. K., &amp; Fletcher, K. M. (2000). </w:t>
      </w:r>
      <w:r w:rsidRPr="00853FE4">
        <w:rPr>
          <w:i/>
          <w:iCs/>
          <w:color w:val="000000" w:themeColor="text1"/>
        </w:rPr>
        <w:t>Understanding fisheries management: A manual for understanding the federal fisheries management process, including analysis of the 1996 Sustainable Fisheries Act</w:t>
      </w:r>
      <w:r w:rsidRPr="00853FE4">
        <w:rPr>
          <w:color w:val="000000" w:themeColor="text1"/>
        </w:rPr>
        <w:t xml:space="preserve"> (2nd ed.). Mississippi-Alabama Sea Grant Consortium.</w:t>
      </w:r>
    </w:p>
    <w:p w14:paraId="0020B527" w14:textId="77777777" w:rsidR="007D75A8" w:rsidRPr="00853FE4" w:rsidRDefault="00000000">
      <w:pPr>
        <w:ind w:left="720" w:hanging="720"/>
        <w:rPr>
          <w:color w:val="000000" w:themeColor="text1"/>
        </w:rPr>
      </w:pPr>
      <w:r w:rsidRPr="00853FE4">
        <w:rPr>
          <w:color w:val="000000" w:themeColor="text1"/>
        </w:rPr>
        <w:br w:type="page"/>
      </w:r>
    </w:p>
    <w:p w14:paraId="01D2448E" w14:textId="77777777" w:rsidR="007D75A8" w:rsidRPr="00853FE4" w:rsidRDefault="00000000">
      <w:pPr>
        <w:pStyle w:val="Heading1"/>
        <w:rPr>
          <w:color w:val="000000" w:themeColor="text1"/>
        </w:rPr>
      </w:pPr>
      <w:bookmarkStart w:id="114" w:name="_f9t631sesvks" w:colFirst="0" w:colLast="0"/>
      <w:bookmarkEnd w:id="114"/>
      <w:r w:rsidRPr="00853FE4">
        <w:rPr>
          <w:color w:val="000000" w:themeColor="text1"/>
        </w:rPr>
        <w:lastRenderedPageBreak/>
        <w:t>Diagrams</w:t>
      </w:r>
    </w:p>
    <w:p w14:paraId="7A9CB594" w14:textId="77777777" w:rsidR="007D75A8" w:rsidRPr="00853FE4" w:rsidRDefault="00000000">
      <w:pPr>
        <w:pStyle w:val="Heading4"/>
        <w:rPr>
          <w:color w:val="000000" w:themeColor="text1"/>
        </w:rPr>
      </w:pPr>
      <w:bookmarkStart w:id="115" w:name="_5dmakw3l91lv" w:colFirst="0" w:colLast="0"/>
      <w:bookmarkEnd w:id="115"/>
      <w:r w:rsidRPr="00853FE4">
        <w:rPr>
          <w:b/>
          <w:bCs/>
          <w:color w:val="000000" w:themeColor="text1"/>
        </w:rPr>
        <w:t>Figure 1:</w:t>
      </w:r>
      <w:r w:rsidRPr="00853FE4">
        <w:rPr>
          <w:color w:val="000000" w:themeColor="text1"/>
        </w:rPr>
        <w:t xml:space="preserve"> Electronic Monitoring and Machine Learning Fragmentation. Independent species identification workflows, video processing pipelines, and AI/ML training environments duplicated across regions without shared infrastructure or governance.</w:t>
      </w:r>
    </w:p>
    <w:p w14:paraId="68EEED9B" w14:textId="77777777" w:rsidR="007D75A8" w:rsidRPr="00853FE4" w:rsidRDefault="007D75A8">
      <w:pPr>
        <w:ind w:left="720" w:hanging="720"/>
        <w:rPr>
          <w:color w:val="000000" w:themeColor="text1"/>
        </w:rPr>
      </w:pPr>
    </w:p>
    <w:p w14:paraId="311E4114" w14:textId="77777777" w:rsidR="007D75A8" w:rsidRPr="00853FE4" w:rsidRDefault="00000000">
      <w:pPr>
        <w:ind w:left="720" w:hanging="720"/>
        <w:rPr>
          <w:color w:val="000000" w:themeColor="text1"/>
        </w:rPr>
      </w:pPr>
      <w:r w:rsidRPr="00853FE4">
        <w:rPr>
          <w:noProof/>
          <w:color w:val="000000" w:themeColor="text1"/>
        </w:rPr>
        <w:drawing>
          <wp:inline distT="114300" distB="114300" distL="114300" distR="114300" wp14:anchorId="2BCB773E" wp14:editId="37AA4510">
            <wp:extent cx="5943600" cy="51562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943600" cy="5156200"/>
                    </a:xfrm>
                    <a:prstGeom prst="rect">
                      <a:avLst/>
                    </a:prstGeom>
                    <a:ln/>
                  </pic:spPr>
                </pic:pic>
              </a:graphicData>
            </a:graphic>
          </wp:inline>
        </w:drawing>
      </w:r>
    </w:p>
    <w:p w14:paraId="70B37A13" w14:textId="77777777" w:rsidR="007D75A8" w:rsidRPr="00853FE4" w:rsidRDefault="007D75A8">
      <w:pPr>
        <w:rPr>
          <w:color w:val="000000" w:themeColor="text1"/>
        </w:rPr>
        <w:sectPr w:rsidR="007D75A8" w:rsidRPr="00853FE4">
          <w:headerReference w:type="even" r:id="rId34"/>
          <w:headerReference w:type="default" r:id="rId35"/>
          <w:footerReference w:type="default" r:id="rId36"/>
          <w:headerReference w:type="first" r:id="rId37"/>
          <w:footerReference w:type="first" r:id="rId38"/>
          <w:pgSz w:w="12240" w:h="15840"/>
          <w:pgMar w:top="1440" w:right="1440" w:bottom="1440" w:left="1440" w:header="720" w:footer="720" w:gutter="0"/>
          <w:pgNumType w:start="1"/>
          <w:cols w:space="720"/>
          <w:titlePg/>
        </w:sectPr>
      </w:pPr>
    </w:p>
    <w:p w14:paraId="305F14A1" w14:textId="77777777" w:rsidR="007D75A8" w:rsidRPr="00853FE4" w:rsidRDefault="00000000">
      <w:pPr>
        <w:pStyle w:val="Heading4"/>
        <w:rPr>
          <w:color w:val="000000" w:themeColor="text1"/>
        </w:rPr>
      </w:pPr>
      <w:bookmarkStart w:id="116" w:name="_dfftmcyw1ajj" w:colFirst="0" w:colLast="0"/>
      <w:bookmarkEnd w:id="116"/>
      <w:r w:rsidRPr="00853FE4">
        <w:rPr>
          <w:b/>
          <w:bCs/>
          <w:color w:val="000000" w:themeColor="text1"/>
        </w:rPr>
        <w:lastRenderedPageBreak/>
        <w:t>Figure 2:</w:t>
      </w:r>
      <w:r w:rsidRPr="00853FE4">
        <w:rPr>
          <w:color w:val="000000" w:themeColor="text1"/>
        </w:rPr>
        <w:t xml:space="preserve"> Domain Decomposition Map, EM Data Product Context. Fishery Monitoring as the producer domain, three consumer domains, and cross-cutting reference data shared across the mesh.</w:t>
      </w:r>
    </w:p>
    <w:p w14:paraId="4AA7235A" w14:textId="77777777" w:rsidR="007D75A8" w:rsidRPr="00853FE4" w:rsidRDefault="007D75A8">
      <w:pPr>
        <w:rPr>
          <w:color w:val="000000" w:themeColor="text1"/>
        </w:rPr>
      </w:pPr>
    </w:p>
    <w:p w14:paraId="7DCF982F" w14:textId="18DE40F6" w:rsidR="007D75A8" w:rsidRPr="00853FE4" w:rsidRDefault="00000000">
      <w:pPr>
        <w:rPr>
          <w:color w:val="000000" w:themeColor="text1"/>
        </w:rPr>
        <w:sectPr w:rsidR="007D75A8" w:rsidRPr="00853FE4">
          <w:pgSz w:w="15840" w:h="12240" w:orient="landscape"/>
          <w:pgMar w:top="1440" w:right="1440" w:bottom="1440" w:left="1440" w:header="720" w:footer="720" w:gutter="0"/>
          <w:cols w:space="720"/>
        </w:sectPr>
      </w:pPr>
      <w:r w:rsidRPr="00853FE4">
        <w:rPr>
          <w:noProof/>
          <w:color w:val="000000" w:themeColor="text1"/>
        </w:rPr>
        <w:drawing>
          <wp:inline distT="114300" distB="114300" distL="114300" distR="114300" wp14:anchorId="1A2851DA" wp14:editId="17D8E646">
            <wp:extent cx="8229600" cy="32004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8229600" cy="3200400"/>
                    </a:xfrm>
                    <a:prstGeom prst="rect">
                      <a:avLst/>
                    </a:prstGeom>
                    <a:ln/>
                  </pic:spPr>
                </pic:pic>
              </a:graphicData>
            </a:graphic>
          </wp:inline>
        </w:drawing>
      </w:r>
    </w:p>
    <w:p w14:paraId="200E4A3F" w14:textId="77777777" w:rsidR="007D75A8" w:rsidRPr="00853FE4" w:rsidRDefault="00000000">
      <w:pPr>
        <w:pStyle w:val="Heading4"/>
        <w:rPr>
          <w:color w:val="000000" w:themeColor="text1"/>
        </w:rPr>
      </w:pPr>
      <w:bookmarkStart w:id="117" w:name="_hd0ghxamiffe" w:colFirst="0" w:colLast="0"/>
      <w:bookmarkEnd w:id="117"/>
      <w:r w:rsidRPr="00853FE4">
        <w:rPr>
          <w:b/>
          <w:bCs/>
          <w:color w:val="000000" w:themeColor="text1"/>
        </w:rPr>
        <w:lastRenderedPageBreak/>
        <w:t>Figure 3:</w:t>
      </w:r>
      <w:r w:rsidRPr="00853FE4">
        <w:rPr>
          <w:color w:val="000000" w:themeColor="text1"/>
        </w:rPr>
        <w:t xml:space="preserve"> Electronic Monitoring Data Product Flow. End-to-end journey from upstream sources (video, trip reports, ingestion API) through the Fishery Monitoring domain to downstream consumers (Stock Assessment, Protected Species, Enforcement), with platform services (Cloud IAM, Cloud Monitoring, Cloud DLP) enforcing governance at every stage.</w:t>
      </w:r>
    </w:p>
    <w:p w14:paraId="5F432070" w14:textId="77777777" w:rsidR="007D75A8" w:rsidRPr="00853FE4" w:rsidRDefault="007D75A8">
      <w:pPr>
        <w:rPr>
          <w:color w:val="000000" w:themeColor="text1"/>
        </w:rPr>
      </w:pPr>
    </w:p>
    <w:p w14:paraId="2D404274"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7706C93E" wp14:editId="5A634A1B">
            <wp:extent cx="8229600" cy="34163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8229600" cy="3416300"/>
                    </a:xfrm>
                    <a:prstGeom prst="rect">
                      <a:avLst/>
                    </a:prstGeom>
                    <a:ln/>
                  </pic:spPr>
                </pic:pic>
              </a:graphicData>
            </a:graphic>
          </wp:inline>
        </w:drawing>
      </w:r>
    </w:p>
    <w:p w14:paraId="25D909FB" w14:textId="77777777" w:rsidR="007D75A8" w:rsidRPr="00853FE4" w:rsidRDefault="007D75A8">
      <w:pPr>
        <w:rPr>
          <w:color w:val="000000" w:themeColor="text1"/>
        </w:rPr>
        <w:sectPr w:rsidR="007D75A8" w:rsidRPr="00853FE4">
          <w:pgSz w:w="15840" w:h="12240" w:orient="landscape"/>
          <w:pgMar w:top="1440" w:right="1440" w:bottom="1440" w:left="1440" w:header="720" w:footer="720" w:gutter="0"/>
          <w:cols w:space="720"/>
        </w:sectPr>
      </w:pPr>
    </w:p>
    <w:p w14:paraId="1260B00A" w14:textId="77777777" w:rsidR="007D75A8" w:rsidRPr="00853FE4" w:rsidRDefault="00000000">
      <w:pPr>
        <w:pStyle w:val="Heading4"/>
        <w:rPr>
          <w:color w:val="000000" w:themeColor="text1"/>
        </w:rPr>
      </w:pPr>
      <w:bookmarkStart w:id="118" w:name="_f4oainud61c4" w:colFirst="0" w:colLast="0"/>
      <w:bookmarkEnd w:id="118"/>
      <w:r w:rsidRPr="00853FE4">
        <w:rPr>
          <w:b/>
          <w:bCs/>
          <w:color w:val="000000" w:themeColor="text1"/>
        </w:rPr>
        <w:lastRenderedPageBreak/>
        <w:t>Figure 4:</w:t>
      </w:r>
      <w:r w:rsidRPr="00853FE4">
        <w:rPr>
          <w:color w:val="000000" w:themeColor="text1"/>
        </w:rPr>
        <w:t xml:space="preserve"> Internal Anatomy of the Electronic Monitoring Data Product. Three-layer architecture (storage, interface, governance) with six storage components spanning capture and ingestion through processing and publication, validated against authoritative taxonomy and governed by the data contract.</w:t>
      </w:r>
    </w:p>
    <w:p w14:paraId="224E188C" w14:textId="77777777" w:rsidR="007D75A8" w:rsidRPr="00853FE4" w:rsidRDefault="007D75A8">
      <w:pPr>
        <w:rPr>
          <w:color w:val="000000" w:themeColor="text1"/>
        </w:rPr>
      </w:pPr>
    </w:p>
    <w:p w14:paraId="29106D15"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2E1ECDF1" wp14:editId="6ECF721C">
            <wp:extent cx="8229600" cy="30099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8229600" cy="3009900"/>
                    </a:xfrm>
                    <a:prstGeom prst="rect">
                      <a:avLst/>
                    </a:prstGeom>
                    <a:ln/>
                  </pic:spPr>
                </pic:pic>
              </a:graphicData>
            </a:graphic>
          </wp:inline>
        </w:drawing>
      </w:r>
    </w:p>
    <w:p w14:paraId="7C2D9E8E" w14:textId="77777777" w:rsidR="007D75A8" w:rsidRPr="00853FE4" w:rsidRDefault="007D75A8">
      <w:pPr>
        <w:rPr>
          <w:color w:val="000000" w:themeColor="text1"/>
        </w:rPr>
        <w:sectPr w:rsidR="007D75A8" w:rsidRPr="00853FE4">
          <w:pgSz w:w="15840" w:h="12240" w:orient="landscape"/>
          <w:pgMar w:top="1440" w:right="1440" w:bottom="1440" w:left="1440" w:header="720" w:footer="720" w:gutter="0"/>
          <w:cols w:space="720"/>
        </w:sectPr>
      </w:pPr>
    </w:p>
    <w:p w14:paraId="7D289D9A" w14:textId="77777777" w:rsidR="007D75A8" w:rsidRPr="00853FE4" w:rsidRDefault="00000000">
      <w:pPr>
        <w:pStyle w:val="Heading4"/>
        <w:rPr>
          <w:color w:val="000000" w:themeColor="text1"/>
        </w:rPr>
      </w:pPr>
      <w:bookmarkStart w:id="119" w:name="_2jpqgldl5ad" w:colFirst="0" w:colLast="0"/>
      <w:bookmarkEnd w:id="119"/>
      <w:r w:rsidRPr="00853FE4">
        <w:rPr>
          <w:b/>
          <w:bCs/>
          <w:color w:val="000000" w:themeColor="text1"/>
        </w:rPr>
        <w:lastRenderedPageBreak/>
        <w:t>Figure 5:</w:t>
      </w:r>
      <w:r w:rsidRPr="00853FE4">
        <w:rPr>
          <w:color w:val="000000" w:themeColor="text1"/>
        </w:rPr>
        <w:t xml:space="preserve"> Electronic Monitoring Data Product Definition. Conceptual view of the EM data product bounded by its dataset schema, data contract, catalog metadata, access methods (BigQuery SQL, REST API), and downstream consumers (Stock Assessment, Protected Species, Enforcement).</w:t>
      </w:r>
    </w:p>
    <w:p w14:paraId="1A330C11" w14:textId="77777777" w:rsidR="007D75A8" w:rsidRPr="00853FE4" w:rsidRDefault="007D75A8">
      <w:pPr>
        <w:rPr>
          <w:color w:val="000000" w:themeColor="text1"/>
        </w:rPr>
      </w:pPr>
    </w:p>
    <w:p w14:paraId="3362AA0A"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27599B07" wp14:editId="339D22F3">
            <wp:extent cx="8229600" cy="2870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8229600" cy="2870200"/>
                    </a:xfrm>
                    <a:prstGeom prst="rect">
                      <a:avLst/>
                    </a:prstGeom>
                    <a:ln/>
                  </pic:spPr>
                </pic:pic>
              </a:graphicData>
            </a:graphic>
          </wp:inline>
        </w:drawing>
      </w:r>
    </w:p>
    <w:p w14:paraId="14937901" w14:textId="77777777" w:rsidR="007D75A8" w:rsidRPr="00853FE4" w:rsidRDefault="007D75A8">
      <w:pPr>
        <w:rPr>
          <w:color w:val="000000" w:themeColor="text1"/>
        </w:rPr>
        <w:sectPr w:rsidR="007D75A8" w:rsidRPr="00853FE4">
          <w:pgSz w:w="15840" w:h="12240" w:orient="landscape"/>
          <w:pgMar w:top="1440" w:right="1440" w:bottom="1440" w:left="1440" w:header="720" w:footer="720" w:gutter="0"/>
          <w:cols w:space="720"/>
        </w:sectPr>
      </w:pPr>
    </w:p>
    <w:p w14:paraId="7895E4DD" w14:textId="77777777" w:rsidR="007D75A8" w:rsidRPr="00853FE4" w:rsidRDefault="00000000">
      <w:pPr>
        <w:pStyle w:val="Heading4"/>
        <w:rPr>
          <w:color w:val="000000" w:themeColor="text1"/>
        </w:rPr>
      </w:pPr>
      <w:bookmarkStart w:id="120" w:name="_8g14rabrk9g" w:colFirst="0" w:colLast="0"/>
      <w:bookmarkEnd w:id="120"/>
      <w:r w:rsidRPr="00853FE4">
        <w:rPr>
          <w:b/>
          <w:bCs/>
          <w:color w:val="000000" w:themeColor="text1"/>
        </w:rPr>
        <w:lastRenderedPageBreak/>
        <w:t>Figure 6:</w:t>
      </w:r>
      <w:r w:rsidRPr="00853FE4">
        <w:rPr>
          <w:color w:val="000000" w:themeColor="text1"/>
        </w:rPr>
        <w:t xml:space="preserve"> GCP Landing Zone Architecture. Complete organization hierarchy with five column groupings (Platform, Domains, Domains-Dev, Security, Shared Services), hub-and-spoke VPC networking, Cloud Interconnect to science centers, and federated identity via NOAA AD.</w:t>
      </w:r>
    </w:p>
    <w:p w14:paraId="2979F9C2" w14:textId="77777777" w:rsidR="007D75A8" w:rsidRPr="00853FE4" w:rsidRDefault="007D75A8">
      <w:pPr>
        <w:rPr>
          <w:color w:val="000000" w:themeColor="text1"/>
        </w:rPr>
      </w:pPr>
    </w:p>
    <w:p w14:paraId="476F4A8A"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2E52A217" wp14:editId="33210FB8">
            <wp:extent cx="8229600" cy="4089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8229600" cy="4089400"/>
                    </a:xfrm>
                    <a:prstGeom prst="rect">
                      <a:avLst/>
                    </a:prstGeom>
                    <a:ln/>
                  </pic:spPr>
                </pic:pic>
              </a:graphicData>
            </a:graphic>
          </wp:inline>
        </w:drawing>
      </w:r>
    </w:p>
    <w:p w14:paraId="63F203B5" w14:textId="77777777" w:rsidR="007D75A8" w:rsidRPr="00853FE4" w:rsidRDefault="00000000">
      <w:pPr>
        <w:pStyle w:val="Heading4"/>
        <w:rPr>
          <w:color w:val="000000" w:themeColor="text1"/>
        </w:rPr>
      </w:pPr>
      <w:bookmarkStart w:id="121" w:name="_8sp7a7jgzem1" w:colFirst="0" w:colLast="0"/>
      <w:bookmarkEnd w:id="121"/>
      <w:r w:rsidRPr="00853FE4">
        <w:rPr>
          <w:b/>
          <w:bCs/>
          <w:color w:val="000000" w:themeColor="text1"/>
        </w:rPr>
        <w:lastRenderedPageBreak/>
        <w:t>Figure 7:</w:t>
      </w:r>
      <w:r w:rsidRPr="00853FE4">
        <w:rPr>
          <w:color w:val="000000" w:themeColor="text1"/>
        </w:rPr>
        <w:t xml:space="preserve"> GCP Landing Zone, Fishery Monitoring Domain Drill-In. Complete workload breakdown (data products, pipelines, applications, science environments, HPC) within the landing zone, with EM-specific examples and cross-domain consumption of shared reference data products.</w:t>
      </w:r>
    </w:p>
    <w:p w14:paraId="56852C8A" w14:textId="77777777" w:rsidR="007D75A8" w:rsidRPr="00853FE4" w:rsidRDefault="007D75A8">
      <w:pPr>
        <w:rPr>
          <w:color w:val="000000" w:themeColor="text1"/>
        </w:rPr>
      </w:pPr>
    </w:p>
    <w:p w14:paraId="078F1570" w14:textId="278473F6" w:rsidR="007D75A8" w:rsidRPr="00853FE4" w:rsidRDefault="00000000">
      <w:pPr>
        <w:rPr>
          <w:color w:val="000000" w:themeColor="text1"/>
        </w:rPr>
        <w:sectPr w:rsidR="007D75A8" w:rsidRPr="00853FE4">
          <w:pgSz w:w="15840" w:h="12240" w:orient="landscape"/>
          <w:pgMar w:top="1440" w:right="1440" w:bottom="1440" w:left="1440" w:header="720" w:footer="720" w:gutter="0"/>
          <w:cols w:space="720"/>
        </w:sectPr>
      </w:pPr>
      <w:r w:rsidRPr="00853FE4">
        <w:rPr>
          <w:noProof/>
          <w:color w:val="000000" w:themeColor="text1"/>
        </w:rPr>
        <w:drawing>
          <wp:inline distT="114300" distB="114300" distL="114300" distR="114300" wp14:anchorId="1664C4A3" wp14:editId="32D85CEF">
            <wp:extent cx="8229600" cy="40894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8229600" cy="4089400"/>
                    </a:xfrm>
                    <a:prstGeom prst="rect">
                      <a:avLst/>
                    </a:prstGeom>
                    <a:ln/>
                  </pic:spPr>
                </pic:pic>
              </a:graphicData>
            </a:graphic>
          </wp:inline>
        </w:drawing>
      </w:r>
    </w:p>
    <w:p w14:paraId="17362A34" w14:textId="77777777" w:rsidR="007D75A8" w:rsidRPr="00853FE4" w:rsidRDefault="00000000">
      <w:pPr>
        <w:pStyle w:val="Heading4"/>
        <w:rPr>
          <w:color w:val="000000" w:themeColor="text1"/>
        </w:rPr>
      </w:pPr>
      <w:bookmarkStart w:id="122" w:name="_ia57ub749fzi" w:colFirst="0" w:colLast="0"/>
      <w:bookmarkEnd w:id="122"/>
      <w:r w:rsidRPr="00853FE4">
        <w:rPr>
          <w:b/>
          <w:bCs/>
          <w:color w:val="000000" w:themeColor="text1"/>
        </w:rPr>
        <w:lastRenderedPageBreak/>
        <w:t>Figure 8:</w:t>
      </w:r>
      <w:r w:rsidRPr="00853FE4">
        <w:rPr>
          <w:color w:val="000000" w:themeColor="text1"/>
        </w:rPr>
        <w:t xml:space="preserve"> Data Product Creation Workflow. Automated pipeline from Terraform template execution through parallel provisioning (BigQuery, IAM, Data Catalog, Dataplex, Cloud Monitoring) and sandbox validation to production promotion and cross-domain discovery.</w:t>
      </w:r>
    </w:p>
    <w:p w14:paraId="13FDCF6E" w14:textId="77777777" w:rsidR="007D75A8" w:rsidRPr="00853FE4" w:rsidRDefault="007D75A8">
      <w:pPr>
        <w:rPr>
          <w:color w:val="000000" w:themeColor="text1"/>
        </w:rPr>
      </w:pPr>
    </w:p>
    <w:p w14:paraId="0B0B6DD4"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31720DBF" wp14:editId="7F8638D1">
            <wp:extent cx="5943600" cy="40767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5943600" cy="4076700"/>
                    </a:xfrm>
                    <a:prstGeom prst="rect">
                      <a:avLst/>
                    </a:prstGeom>
                    <a:ln/>
                  </pic:spPr>
                </pic:pic>
              </a:graphicData>
            </a:graphic>
          </wp:inline>
        </w:drawing>
      </w:r>
    </w:p>
    <w:p w14:paraId="04D06632" w14:textId="77777777" w:rsidR="007D75A8" w:rsidRPr="00853FE4" w:rsidRDefault="007D75A8">
      <w:pPr>
        <w:rPr>
          <w:color w:val="000000" w:themeColor="text1"/>
        </w:rPr>
        <w:sectPr w:rsidR="007D75A8" w:rsidRPr="00853FE4">
          <w:pgSz w:w="12240" w:h="15840"/>
          <w:pgMar w:top="1440" w:right="1440" w:bottom="1440" w:left="1440" w:header="720" w:footer="720" w:gutter="0"/>
          <w:cols w:space="720"/>
        </w:sectPr>
      </w:pPr>
    </w:p>
    <w:p w14:paraId="49ED469C" w14:textId="77777777" w:rsidR="007D75A8" w:rsidRPr="00853FE4" w:rsidRDefault="00000000">
      <w:pPr>
        <w:pStyle w:val="Heading4"/>
        <w:rPr>
          <w:color w:val="000000" w:themeColor="text1"/>
        </w:rPr>
      </w:pPr>
      <w:bookmarkStart w:id="123" w:name="_wforjht17nis" w:colFirst="0" w:colLast="0"/>
      <w:bookmarkEnd w:id="123"/>
      <w:r w:rsidRPr="00853FE4">
        <w:rPr>
          <w:b/>
          <w:bCs/>
          <w:color w:val="000000" w:themeColor="text1"/>
        </w:rPr>
        <w:lastRenderedPageBreak/>
        <w:t>Figure 9:</w:t>
      </w:r>
      <w:r w:rsidRPr="00853FE4">
        <w:rPr>
          <w:color w:val="000000" w:themeColor="text1"/>
        </w:rPr>
        <w:t xml:space="preserve"> NIST 800-53 Control Inheritance Model. Three-tier strategy with FedRAMP common controls at the foundation, six platform-enforced hybrid controls (AC-3, AU-2, SC-7, SI-10, SC-13, RA-5) mapped to specific GCP services in the middle tier, and product-specific controls at the top, enabling a continuous authorization strategy.</w:t>
      </w:r>
    </w:p>
    <w:p w14:paraId="2EBA9C39" w14:textId="77777777" w:rsidR="007D75A8" w:rsidRPr="00853FE4" w:rsidRDefault="007D75A8">
      <w:pPr>
        <w:rPr>
          <w:color w:val="000000" w:themeColor="text1"/>
        </w:rPr>
      </w:pPr>
    </w:p>
    <w:p w14:paraId="48081079" w14:textId="77777777" w:rsidR="007D75A8" w:rsidRPr="00853FE4" w:rsidRDefault="00000000">
      <w:pPr>
        <w:jc w:val="center"/>
        <w:rPr>
          <w:color w:val="000000" w:themeColor="text1"/>
        </w:rPr>
      </w:pPr>
      <w:r w:rsidRPr="00853FE4">
        <w:rPr>
          <w:noProof/>
          <w:color w:val="000000" w:themeColor="text1"/>
        </w:rPr>
        <w:drawing>
          <wp:inline distT="114300" distB="114300" distL="114300" distR="114300" wp14:anchorId="5B3EA15C" wp14:editId="0CC134CB">
            <wp:extent cx="8246598" cy="2823776"/>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l="6019" r="5903"/>
                    <a:stretch>
                      <a:fillRect/>
                    </a:stretch>
                  </pic:blipFill>
                  <pic:spPr>
                    <a:xfrm>
                      <a:off x="0" y="0"/>
                      <a:ext cx="8246598" cy="2823776"/>
                    </a:xfrm>
                    <a:prstGeom prst="rect">
                      <a:avLst/>
                    </a:prstGeom>
                    <a:ln/>
                  </pic:spPr>
                </pic:pic>
              </a:graphicData>
            </a:graphic>
          </wp:inline>
        </w:drawing>
      </w:r>
    </w:p>
    <w:p w14:paraId="7E8E7CE7" w14:textId="77777777" w:rsidR="007D75A8" w:rsidRPr="00853FE4" w:rsidRDefault="007D75A8">
      <w:pPr>
        <w:rPr>
          <w:color w:val="000000" w:themeColor="text1"/>
        </w:rPr>
        <w:sectPr w:rsidR="007D75A8" w:rsidRPr="00853FE4">
          <w:pgSz w:w="15840" w:h="12240" w:orient="landscape"/>
          <w:pgMar w:top="1440" w:right="1440" w:bottom="1440" w:left="1440" w:header="720" w:footer="720" w:gutter="0"/>
          <w:cols w:space="720"/>
        </w:sectPr>
      </w:pPr>
    </w:p>
    <w:p w14:paraId="3B5A9E22" w14:textId="77777777" w:rsidR="007D75A8" w:rsidRPr="00853FE4" w:rsidRDefault="00000000">
      <w:pPr>
        <w:pStyle w:val="Heading4"/>
        <w:rPr>
          <w:color w:val="000000" w:themeColor="text1"/>
        </w:rPr>
      </w:pPr>
      <w:bookmarkStart w:id="124" w:name="_qwl6xs1017i4" w:colFirst="0" w:colLast="0"/>
      <w:bookmarkEnd w:id="124"/>
      <w:r w:rsidRPr="00853FE4">
        <w:rPr>
          <w:b/>
          <w:bCs/>
          <w:color w:val="000000" w:themeColor="text1"/>
        </w:rPr>
        <w:lastRenderedPageBreak/>
        <w:t>Figure 10:</w:t>
      </w:r>
      <w:r w:rsidRPr="00853FE4">
        <w:rPr>
          <w:color w:val="000000" w:themeColor="text1"/>
        </w:rPr>
        <w:t xml:space="preserve"> Four Principles Integration. Quadrant diagram showing how domain ownership, data as a product, the self-serve platform, and federated computational governance converge on the EM data product as an integrated whole, with bidirectional tension lines acknowledging the structural tradeoffs the architecture must manage.</w:t>
      </w:r>
    </w:p>
    <w:p w14:paraId="1E714DB4" w14:textId="77777777" w:rsidR="007D75A8" w:rsidRPr="00853FE4" w:rsidRDefault="007D75A8">
      <w:pPr>
        <w:rPr>
          <w:color w:val="000000" w:themeColor="text1"/>
        </w:rPr>
      </w:pPr>
    </w:p>
    <w:p w14:paraId="7BBEB393"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6B131893" wp14:editId="56A2AE85">
            <wp:extent cx="8229600" cy="28194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8229600" cy="2819400"/>
                    </a:xfrm>
                    <a:prstGeom prst="rect">
                      <a:avLst/>
                    </a:prstGeom>
                    <a:ln/>
                  </pic:spPr>
                </pic:pic>
              </a:graphicData>
            </a:graphic>
          </wp:inline>
        </w:drawing>
      </w:r>
    </w:p>
    <w:p w14:paraId="29F1603F" w14:textId="77777777" w:rsidR="007D75A8" w:rsidRPr="00853FE4" w:rsidRDefault="007D75A8">
      <w:pPr>
        <w:rPr>
          <w:color w:val="000000" w:themeColor="text1"/>
        </w:rPr>
        <w:sectPr w:rsidR="007D75A8" w:rsidRPr="00853FE4">
          <w:pgSz w:w="15840" w:h="12240" w:orient="landscape"/>
          <w:pgMar w:top="1440" w:right="1440" w:bottom="1440" w:left="1440" w:header="720" w:footer="720" w:gutter="0"/>
          <w:cols w:space="720"/>
        </w:sectPr>
      </w:pPr>
    </w:p>
    <w:p w14:paraId="2C061DEA" w14:textId="77777777" w:rsidR="007D75A8" w:rsidRPr="00853FE4" w:rsidRDefault="00000000">
      <w:pPr>
        <w:pStyle w:val="Heading4"/>
        <w:rPr>
          <w:color w:val="000000" w:themeColor="text1"/>
        </w:rPr>
      </w:pPr>
      <w:bookmarkStart w:id="125" w:name="_gyi7kond0afn" w:colFirst="0" w:colLast="0"/>
      <w:bookmarkEnd w:id="125"/>
      <w:r w:rsidRPr="00853FE4">
        <w:rPr>
          <w:b/>
          <w:bCs/>
          <w:color w:val="000000" w:themeColor="text1"/>
        </w:rPr>
        <w:lastRenderedPageBreak/>
        <w:t>Figure 11:</w:t>
      </w:r>
      <w:r w:rsidRPr="00853FE4">
        <w:rPr>
          <w:color w:val="000000" w:themeColor="text1"/>
        </w:rPr>
        <w:t xml:space="preserve"> Domain-Coupled Resource Hierarchy. All workloads (data products, pipelines, applications, science environments, HPC) colocated within domain folders, with project names using the </w:t>
      </w:r>
      <w:r w:rsidRPr="00853FE4">
        <w:rPr>
          <w:rFonts w:ascii="Courier New" w:eastAsia="Courier New" w:hAnsi="Courier New" w:cs="Courier New"/>
          <w:color w:val="000000" w:themeColor="text1"/>
          <w:sz w:val="22"/>
          <w:szCs w:val="22"/>
        </w:rPr>
        <w:t>n</w:t>
      </w:r>
      <w:r w:rsidRPr="00853FE4">
        <w:rPr>
          <w:color w:val="000000" w:themeColor="text1"/>
        </w:rPr>
        <w:t xml:space="preserve"> convention to denote multiple instances per workload type.</w:t>
      </w:r>
    </w:p>
    <w:p w14:paraId="01B6695C" w14:textId="77777777" w:rsidR="007D75A8" w:rsidRPr="00853FE4" w:rsidRDefault="007D75A8">
      <w:pPr>
        <w:rPr>
          <w:color w:val="000000" w:themeColor="text1"/>
        </w:rPr>
      </w:pPr>
    </w:p>
    <w:p w14:paraId="4DF4AF9C"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3A0E0C8B" wp14:editId="4803FD5F">
            <wp:extent cx="8229600" cy="24892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8229600" cy="2489200"/>
                    </a:xfrm>
                    <a:prstGeom prst="rect">
                      <a:avLst/>
                    </a:prstGeom>
                    <a:ln/>
                  </pic:spPr>
                </pic:pic>
              </a:graphicData>
            </a:graphic>
          </wp:inline>
        </w:drawing>
      </w:r>
    </w:p>
    <w:p w14:paraId="435E4174" w14:textId="77777777" w:rsidR="007D75A8" w:rsidRPr="00853FE4" w:rsidRDefault="007D75A8">
      <w:pPr>
        <w:rPr>
          <w:color w:val="000000" w:themeColor="text1"/>
        </w:rPr>
        <w:sectPr w:rsidR="007D75A8" w:rsidRPr="00853FE4">
          <w:pgSz w:w="15840" w:h="12240" w:orient="landscape"/>
          <w:pgMar w:top="1440" w:right="1440" w:bottom="1440" w:left="1440" w:header="720" w:footer="720" w:gutter="0"/>
          <w:cols w:space="720"/>
        </w:sectPr>
      </w:pPr>
    </w:p>
    <w:p w14:paraId="1201E280" w14:textId="77777777" w:rsidR="007D75A8" w:rsidRPr="00853FE4" w:rsidRDefault="00000000">
      <w:pPr>
        <w:pStyle w:val="Heading4"/>
        <w:rPr>
          <w:color w:val="000000" w:themeColor="text1"/>
        </w:rPr>
      </w:pPr>
      <w:bookmarkStart w:id="126" w:name="_jjh2weutovhq" w:colFirst="0" w:colLast="0"/>
      <w:bookmarkEnd w:id="126"/>
      <w:r w:rsidRPr="00853FE4">
        <w:rPr>
          <w:b/>
          <w:bCs/>
          <w:color w:val="000000" w:themeColor="text1"/>
        </w:rPr>
        <w:lastRenderedPageBreak/>
        <w:t>Figure 12:</w:t>
      </w:r>
      <w:r w:rsidRPr="00853FE4">
        <w:rPr>
          <w:color w:val="000000" w:themeColor="text1"/>
        </w:rPr>
        <w:t xml:space="preserve"> Domain-Separated Resource Hierarchy. Data products remain in domain-specific folders while pipelines, applications, scientific computing environments, and HPC and AI/ML workloads are separated into dedicated folders, with cross-folder IAM policies required for integration and Platform and Security as shared infrastructure folders.</w:t>
      </w:r>
    </w:p>
    <w:p w14:paraId="6D5AF66E" w14:textId="77777777" w:rsidR="007D75A8" w:rsidRPr="00853FE4" w:rsidRDefault="007D75A8">
      <w:pPr>
        <w:rPr>
          <w:color w:val="000000" w:themeColor="text1"/>
        </w:rPr>
      </w:pPr>
    </w:p>
    <w:p w14:paraId="55ACC110"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5C1C0D49" wp14:editId="3B369950">
            <wp:extent cx="8229600" cy="24511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8229600" cy="2451100"/>
                    </a:xfrm>
                    <a:prstGeom prst="rect">
                      <a:avLst/>
                    </a:prstGeom>
                    <a:ln/>
                  </pic:spPr>
                </pic:pic>
              </a:graphicData>
            </a:graphic>
          </wp:inline>
        </w:drawing>
      </w:r>
    </w:p>
    <w:p w14:paraId="00CE487B" w14:textId="77777777" w:rsidR="007D75A8" w:rsidRPr="00853FE4" w:rsidRDefault="007D75A8">
      <w:pPr>
        <w:rPr>
          <w:color w:val="000000" w:themeColor="text1"/>
        </w:rPr>
        <w:sectPr w:rsidR="007D75A8" w:rsidRPr="00853FE4">
          <w:pgSz w:w="15840" w:h="12240" w:orient="landscape"/>
          <w:pgMar w:top="1440" w:right="1440" w:bottom="1440" w:left="1440" w:header="720" w:footer="720" w:gutter="0"/>
          <w:cols w:space="720"/>
        </w:sectPr>
      </w:pPr>
    </w:p>
    <w:p w14:paraId="04BF5A7F" w14:textId="77777777" w:rsidR="007D75A8" w:rsidRPr="00853FE4" w:rsidRDefault="00000000">
      <w:pPr>
        <w:pStyle w:val="Heading4"/>
        <w:rPr>
          <w:color w:val="000000" w:themeColor="text1"/>
        </w:rPr>
      </w:pPr>
      <w:bookmarkStart w:id="127" w:name="_mmze8jx448fy" w:colFirst="0" w:colLast="0"/>
      <w:bookmarkEnd w:id="127"/>
      <w:r w:rsidRPr="00853FE4">
        <w:rPr>
          <w:b/>
          <w:bCs/>
          <w:color w:val="000000" w:themeColor="text1"/>
        </w:rPr>
        <w:lastRenderedPageBreak/>
        <w:t>Figure 13:</w:t>
      </w:r>
      <w:r w:rsidRPr="00853FE4">
        <w:rPr>
          <w:color w:val="000000" w:themeColor="text1"/>
        </w:rPr>
        <w:t xml:space="preserve"> Migration Phases and Dependencies. Technical migration sequence (platform foundation, Anti-Corruption Layer, Strangler Fig, Parallel Run, legacy decommissioning) aligned with the parallel organizational readiness track (capability building, change management, governance council formation), with explicit dependency arrows showing that organizational preparedness enables each technical phase.</w:t>
      </w:r>
    </w:p>
    <w:p w14:paraId="3BFF7C60" w14:textId="77777777" w:rsidR="007D75A8" w:rsidRPr="00853FE4" w:rsidRDefault="007D75A8">
      <w:pPr>
        <w:rPr>
          <w:color w:val="000000" w:themeColor="text1"/>
        </w:rPr>
      </w:pPr>
    </w:p>
    <w:p w14:paraId="535343BB"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38A46C34" wp14:editId="16D7CE13">
            <wp:extent cx="8229600" cy="1854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8229600" cy="1854200"/>
                    </a:xfrm>
                    <a:prstGeom prst="rect">
                      <a:avLst/>
                    </a:prstGeom>
                    <a:ln/>
                  </pic:spPr>
                </pic:pic>
              </a:graphicData>
            </a:graphic>
          </wp:inline>
        </w:drawing>
      </w:r>
    </w:p>
    <w:p w14:paraId="6D27ADC3" w14:textId="77777777" w:rsidR="007D75A8" w:rsidRPr="00853FE4" w:rsidRDefault="007D75A8">
      <w:pPr>
        <w:pStyle w:val="Heading4"/>
        <w:rPr>
          <w:b/>
          <w:bCs/>
          <w:color w:val="000000" w:themeColor="text1"/>
        </w:rPr>
        <w:sectPr w:rsidR="007D75A8" w:rsidRPr="00853FE4">
          <w:pgSz w:w="15840" w:h="12240" w:orient="landscape"/>
          <w:pgMar w:top="1440" w:right="1440" w:bottom="1440" w:left="1440" w:header="720" w:footer="720" w:gutter="0"/>
          <w:cols w:space="720"/>
        </w:sectPr>
      </w:pPr>
      <w:bookmarkStart w:id="128" w:name="_evip8fcydd6i" w:colFirst="0" w:colLast="0"/>
      <w:bookmarkEnd w:id="128"/>
    </w:p>
    <w:p w14:paraId="2641FEA3" w14:textId="77777777" w:rsidR="007D75A8" w:rsidRPr="00853FE4" w:rsidRDefault="00000000">
      <w:pPr>
        <w:pStyle w:val="Heading4"/>
        <w:rPr>
          <w:color w:val="000000" w:themeColor="text1"/>
        </w:rPr>
      </w:pPr>
      <w:bookmarkStart w:id="129" w:name="_x70a823l76wa" w:colFirst="0" w:colLast="0"/>
      <w:bookmarkEnd w:id="129"/>
      <w:r w:rsidRPr="00853FE4">
        <w:rPr>
          <w:b/>
          <w:bCs/>
          <w:color w:val="000000" w:themeColor="text1"/>
        </w:rPr>
        <w:lastRenderedPageBreak/>
        <w:t>Figure 14:</w:t>
      </w:r>
      <w:r w:rsidRPr="00853FE4">
        <w:rPr>
          <w:color w:val="000000" w:themeColor="text1"/>
        </w:rPr>
        <w:t xml:space="preserve"> Legacy Migration Order of Operations. Five-step flowchart moving from platform foundation deployment through Anti-Corruption Layer establishment, Strangler Fig incremental redirection, Parallel Run validation across a full fishing season, and final legacy decommissioning.</w:t>
      </w:r>
    </w:p>
    <w:p w14:paraId="4CD2832A" w14:textId="77777777" w:rsidR="007D75A8" w:rsidRPr="00853FE4" w:rsidRDefault="007D75A8">
      <w:pPr>
        <w:rPr>
          <w:color w:val="000000" w:themeColor="text1"/>
        </w:rPr>
      </w:pPr>
    </w:p>
    <w:p w14:paraId="42FEB4D4"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700977CE" wp14:editId="36460FED">
            <wp:extent cx="5943600" cy="3670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5943600" cy="3670300"/>
                    </a:xfrm>
                    <a:prstGeom prst="rect">
                      <a:avLst/>
                    </a:prstGeom>
                    <a:ln/>
                  </pic:spPr>
                </pic:pic>
              </a:graphicData>
            </a:graphic>
          </wp:inline>
        </w:drawing>
      </w:r>
    </w:p>
    <w:p w14:paraId="0BAD921D" w14:textId="77777777" w:rsidR="007D75A8" w:rsidRPr="00853FE4" w:rsidRDefault="007D75A8">
      <w:pPr>
        <w:rPr>
          <w:color w:val="000000" w:themeColor="text1"/>
        </w:rPr>
        <w:sectPr w:rsidR="007D75A8" w:rsidRPr="00853FE4">
          <w:pgSz w:w="12240" w:h="15840"/>
          <w:pgMar w:top="1440" w:right="1440" w:bottom="1440" w:left="1440" w:header="720" w:footer="720" w:gutter="0"/>
          <w:cols w:space="720"/>
        </w:sectPr>
      </w:pPr>
    </w:p>
    <w:p w14:paraId="1CCB0C6C" w14:textId="77777777" w:rsidR="007D75A8" w:rsidRPr="00853FE4" w:rsidRDefault="00000000">
      <w:pPr>
        <w:pStyle w:val="Heading4"/>
        <w:rPr>
          <w:color w:val="000000" w:themeColor="text1"/>
        </w:rPr>
      </w:pPr>
      <w:bookmarkStart w:id="130" w:name="_hhfq0n3rv7q4" w:colFirst="0" w:colLast="0"/>
      <w:bookmarkEnd w:id="130"/>
      <w:r w:rsidRPr="00853FE4">
        <w:rPr>
          <w:b/>
          <w:bCs/>
          <w:color w:val="000000" w:themeColor="text1"/>
        </w:rPr>
        <w:lastRenderedPageBreak/>
        <w:t>Figure 15:</w:t>
      </w:r>
      <w:r w:rsidRPr="00853FE4">
        <w:rPr>
          <w:color w:val="000000" w:themeColor="text1"/>
        </w:rPr>
        <w:t xml:space="preserve"> Migration Data Flow, Consumer Perspective. Three-panel sequence illustrating that the consumer experience never changes (always the same Anti-Corruption Layer API), while the backend transparently shifts from 100 percent Oracle to 100 percent BigQuery through the Strangler Fig and Parallel Run patterns, with legacy Oracle ultimately decommissioned.</w:t>
      </w:r>
    </w:p>
    <w:p w14:paraId="34A85351" w14:textId="77777777" w:rsidR="007D75A8" w:rsidRPr="00853FE4" w:rsidRDefault="007D75A8">
      <w:pPr>
        <w:rPr>
          <w:color w:val="000000" w:themeColor="text1"/>
        </w:rPr>
      </w:pPr>
    </w:p>
    <w:p w14:paraId="38911A3A" w14:textId="77777777" w:rsidR="007D75A8" w:rsidRPr="00853FE4" w:rsidRDefault="00000000">
      <w:pPr>
        <w:rPr>
          <w:color w:val="000000" w:themeColor="text1"/>
        </w:rPr>
      </w:pPr>
      <w:r w:rsidRPr="00853FE4">
        <w:rPr>
          <w:noProof/>
          <w:color w:val="000000" w:themeColor="text1"/>
        </w:rPr>
        <w:drawing>
          <wp:inline distT="114300" distB="114300" distL="114300" distR="114300" wp14:anchorId="38DDB4C4" wp14:editId="2C6C897D">
            <wp:extent cx="8229600" cy="24257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2"/>
                    <a:srcRect/>
                    <a:stretch>
                      <a:fillRect/>
                    </a:stretch>
                  </pic:blipFill>
                  <pic:spPr>
                    <a:xfrm>
                      <a:off x="0" y="0"/>
                      <a:ext cx="8229600" cy="2425700"/>
                    </a:xfrm>
                    <a:prstGeom prst="rect">
                      <a:avLst/>
                    </a:prstGeom>
                    <a:ln/>
                  </pic:spPr>
                </pic:pic>
              </a:graphicData>
            </a:graphic>
          </wp:inline>
        </w:drawing>
      </w:r>
    </w:p>
    <w:p w14:paraId="1170CCEB" w14:textId="77777777" w:rsidR="007D75A8" w:rsidRPr="00853FE4" w:rsidRDefault="007D75A8">
      <w:pPr>
        <w:rPr>
          <w:color w:val="000000" w:themeColor="text1"/>
        </w:rPr>
        <w:sectPr w:rsidR="007D75A8" w:rsidRPr="00853FE4">
          <w:pgSz w:w="15840" w:h="12240" w:orient="landscape"/>
          <w:pgMar w:top="1440" w:right="1440" w:bottom="1440" w:left="1440" w:header="720" w:footer="720" w:gutter="0"/>
          <w:cols w:space="720"/>
        </w:sectPr>
      </w:pPr>
    </w:p>
    <w:p w14:paraId="2F7215C2" w14:textId="77777777" w:rsidR="007D75A8" w:rsidRPr="00853FE4" w:rsidRDefault="00000000">
      <w:pPr>
        <w:pStyle w:val="Heading4"/>
        <w:rPr>
          <w:color w:val="000000" w:themeColor="text1"/>
        </w:rPr>
      </w:pPr>
      <w:bookmarkStart w:id="131" w:name="_r89jgvjm64j" w:colFirst="0" w:colLast="0"/>
      <w:bookmarkEnd w:id="131"/>
      <w:r w:rsidRPr="00853FE4">
        <w:rPr>
          <w:b/>
          <w:bCs/>
          <w:color w:val="000000" w:themeColor="text1"/>
        </w:rPr>
        <w:lastRenderedPageBreak/>
        <w:t>Figure 16:</w:t>
      </w:r>
      <w:r w:rsidRPr="00853FE4">
        <w:rPr>
          <w:color w:val="000000" w:themeColor="text1"/>
        </w:rPr>
        <w:t xml:space="preserve"> Federated NOAA Enterprise Approach. Hub-and-spoke diagram showing four elements of pragmatic federation (standardized data product contracts, federated catalog, cross-cloud data access gateways, enterprise data governance council) that connect the NMFS internal mesh to the broader NOAA enterprise without requiring all line offices to adopt a unified platform.</w:t>
      </w:r>
    </w:p>
    <w:p w14:paraId="46B98AC5" w14:textId="77777777" w:rsidR="007D75A8" w:rsidRPr="00853FE4" w:rsidRDefault="007D75A8">
      <w:pPr>
        <w:rPr>
          <w:color w:val="000000" w:themeColor="text1"/>
        </w:rPr>
      </w:pPr>
    </w:p>
    <w:p w14:paraId="03D49F4B" w14:textId="771E7C6C" w:rsidR="007D75A8" w:rsidRPr="00853FE4" w:rsidRDefault="00000000" w:rsidP="00BB72A8">
      <w:pPr>
        <w:rPr>
          <w:color w:val="000000" w:themeColor="text1"/>
        </w:rPr>
      </w:pPr>
      <w:r w:rsidRPr="00853FE4">
        <w:rPr>
          <w:noProof/>
          <w:color w:val="000000" w:themeColor="text1"/>
        </w:rPr>
        <w:drawing>
          <wp:inline distT="114300" distB="114300" distL="114300" distR="114300" wp14:anchorId="5AE3426C" wp14:editId="5B78040C">
            <wp:extent cx="8229600" cy="28321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3"/>
                    <a:srcRect/>
                    <a:stretch>
                      <a:fillRect/>
                    </a:stretch>
                  </pic:blipFill>
                  <pic:spPr>
                    <a:xfrm>
                      <a:off x="0" y="0"/>
                      <a:ext cx="8229600" cy="2832100"/>
                    </a:xfrm>
                    <a:prstGeom prst="rect">
                      <a:avLst/>
                    </a:prstGeom>
                    <a:ln/>
                  </pic:spPr>
                </pic:pic>
              </a:graphicData>
            </a:graphic>
          </wp:inline>
        </w:drawing>
      </w:r>
    </w:p>
    <w:sectPr w:rsidR="007D75A8" w:rsidRPr="00853FE4">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1D3D8" w14:textId="77777777" w:rsidR="00C321FA" w:rsidRDefault="00C321FA">
      <w:pPr>
        <w:spacing w:line="240" w:lineRule="auto"/>
      </w:pPr>
      <w:r>
        <w:separator/>
      </w:r>
    </w:p>
  </w:endnote>
  <w:endnote w:type="continuationSeparator" w:id="0">
    <w:p w14:paraId="77AC5968" w14:textId="77777777" w:rsidR="00C321FA" w:rsidRDefault="00C321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9B087A8-D628-B048-B136-D2AFEB1A74D3}"/>
  </w:font>
  <w:font w:name="Times New Roman">
    <w:panose1 w:val="02020603050405020304"/>
    <w:charset w:val="00"/>
    <w:family w:val="roman"/>
    <w:pitch w:val="variable"/>
    <w:sig w:usb0="E0002EFF" w:usb1="C000785B" w:usb2="00000009" w:usb3="00000000" w:csb0="000001FF" w:csb1="00000000"/>
    <w:embedRegular r:id="rId2" w:fontKey="{88AB35A1-6DFE-C449-BC72-6BD10AC720FA}"/>
    <w:embedBold r:id="rId3" w:fontKey="{3FF215CA-211A-824C-A998-45E776D5249B}"/>
    <w:embedItalic r:id="rId4" w:fontKey="{2DA5AB38-E4FA-8648-9679-1F3704EA538A}"/>
  </w:font>
  <w:font w:name="Cambria">
    <w:panose1 w:val="02040503050406030204"/>
    <w:charset w:val="00"/>
    <w:family w:val="roman"/>
    <w:pitch w:val="variable"/>
    <w:sig w:usb0="E00002FF" w:usb1="400004FF" w:usb2="00000000" w:usb3="00000000" w:csb0="0000019F" w:csb1="00000000"/>
    <w:embedRegular r:id="rId5" w:fontKey="{30115519-FD8A-1A48-8C3C-99931DCFEBAB}"/>
    <w:embedBold r:id="rId6" w:fontKey="{2ECF209E-9C0F-D34C-8CC2-2FD2174B717E}"/>
  </w:font>
  <w:font w:name="Courier New">
    <w:panose1 w:val="02070309020205020404"/>
    <w:charset w:val="00"/>
    <w:family w:val="modern"/>
    <w:pitch w:val="fixed"/>
    <w:sig w:usb0="E0002AFF" w:usb1="C0007843" w:usb2="00000009" w:usb3="00000000" w:csb0="000001FF" w:csb1="00000000"/>
    <w:embedRegular r:id="rId7" w:fontKey="{F11CDABD-E3C0-4248-87E7-2C450C893302}"/>
  </w:font>
  <w:font w:name="Roboto Mono">
    <w:panose1 w:val="00000009000000000000"/>
    <w:charset w:val="00"/>
    <w:family w:val="modern"/>
    <w:pitch w:val="fixed"/>
    <w:sig w:usb0="E00002FF" w:usb1="1000205B" w:usb2="00000020" w:usb3="00000000" w:csb0="0000019F" w:csb1="00000000"/>
    <w:embedRegular r:id="rId8" w:fontKey="{A6726318-A868-C747-BCA6-F29AE6AA7954}"/>
  </w:font>
  <w:font w:name="Nova Mono">
    <w:charset w:val="00"/>
    <w:family w:val="auto"/>
    <w:pitch w:val="default"/>
    <w:embedRegular r:id="rId9" w:fontKey="{8D075A0C-62BD-944A-89FD-32FBC595183B}"/>
  </w:font>
  <w:font w:name="Calibri">
    <w:panose1 w:val="020F0502020204030204"/>
    <w:charset w:val="00"/>
    <w:family w:val="swiss"/>
    <w:pitch w:val="variable"/>
    <w:sig w:usb0="E4002EFF" w:usb1="C200247B" w:usb2="00000009" w:usb3="00000000" w:csb0="000001FF" w:csb1="00000000"/>
    <w:embedRegular r:id="rId10" w:fontKey="{2509093E-4106-144D-874F-81C44441F7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42F6" w14:textId="77777777" w:rsidR="007D75A8" w:rsidRDefault="00000000">
    <w:pPr>
      <w:jc w:val="right"/>
    </w:pPr>
    <w:r>
      <w:fldChar w:fldCharType="begin"/>
    </w:r>
    <w:r>
      <w:instrText>PAGE</w:instrText>
    </w:r>
    <w:r>
      <w:fldChar w:fldCharType="separate"/>
    </w:r>
    <w:r w:rsidR="00BB72A8">
      <w:rPr>
        <w:noProof/>
      </w:rPr>
      <w:t>2</w:t>
    </w:r>
    <w:r>
      <w:fldChar w:fldCharType="end"/>
    </w:r>
    <w:r w:rsidR="00C321FA">
      <w:rPr>
        <w:noProof/>
      </w:rPr>
      <w:pict w14:anchorId="075EA01A">
        <v:rect id="_x0000_i1025" alt="" style="width:468pt;height:.05pt;mso-width-percent:0;mso-height-percent:0;mso-width-percent:0;mso-height-percent:0" o:hralign="center" o:hrstd="t" o:hr="t" fillcolor="#a0a0a0" stroked="f"/>
      </w:pict>
    </w:r>
  </w:p>
  <w:p w14:paraId="0F77BE79" w14:textId="77777777" w:rsidR="007D75A8" w:rsidRDefault="007D75A8">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D3648" w14:textId="77777777" w:rsidR="007D75A8" w:rsidRDefault="007D75A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A11D" w14:textId="77777777" w:rsidR="00C321FA" w:rsidRDefault="00C321FA">
      <w:pPr>
        <w:spacing w:line="240" w:lineRule="auto"/>
      </w:pPr>
      <w:r>
        <w:separator/>
      </w:r>
    </w:p>
  </w:footnote>
  <w:footnote w:type="continuationSeparator" w:id="0">
    <w:p w14:paraId="55791962" w14:textId="77777777" w:rsidR="00C321FA" w:rsidRDefault="00C321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B1BB6" w14:textId="77777777" w:rsidR="00BB72A8" w:rsidRDefault="00BB72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59D5" w14:textId="77777777" w:rsidR="007D75A8" w:rsidRDefault="00000000">
    <w:pPr>
      <w:spacing w:line="259" w:lineRule="auto"/>
      <w:rPr>
        <w:b/>
        <w:bCs/>
        <w:color w:val="434343"/>
        <w:sz w:val="22"/>
        <w:szCs w:val="22"/>
      </w:rPr>
    </w:pPr>
    <w:r>
      <w:rPr>
        <w:b/>
        <w:bCs/>
        <w:color w:val="434343"/>
        <w:sz w:val="22"/>
        <w:szCs w:val="22"/>
      </w:rPr>
      <w:t>Data Mesh Reference Architecture for NOAA Fisheries</w:t>
    </w:r>
  </w:p>
  <w:p w14:paraId="59652F32" w14:textId="77777777" w:rsidR="007D75A8" w:rsidRDefault="00000000">
    <w:pPr>
      <w:spacing w:line="259" w:lineRule="auto"/>
      <w:rPr>
        <w:sz w:val="22"/>
        <w:szCs w:val="22"/>
      </w:rPr>
    </w:pPr>
    <w:r>
      <w:rPr>
        <w:sz w:val="22"/>
        <w:szCs w:val="22"/>
      </w:rPr>
      <w:t>June 3, 2026</w:t>
    </w:r>
  </w:p>
  <w:p w14:paraId="19D083CF" w14:textId="77777777" w:rsidR="007D75A8" w:rsidRDefault="00C321FA">
    <w:pPr>
      <w:spacing w:after="160" w:line="259" w:lineRule="auto"/>
      <w:rPr>
        <w:rFonts w:ascii="Cambria" w:eastAsia="Cambria" w:hAnsi="Cambria" w:cs="Cambria"/>
        <w:color w:val="999999"/>
        <w:sz w:val="18"/>
        <w:szCs w:val="18"/>
      </w:rPr>
    </w:pPr>
    <w:r>
      <w:rPr>
        <w:noProof/>
      </w:rPr>
      <w:pict w14:anchorId="2338141B">
        <v:rect id="_x0000_i1026" alt="" style="width:468pt;height:.05pt;mso-width-percent:0;mso-height-percent:0;mso-width-percent:0;mso-height-percent:0" o:hralign="center" o:hrstd="t" o:hr="t" fillcolor="#a0a0a0" stroked="f"/>
      </w:pict>
    </w:r>
  </w:p>
  <w:p w14:paraId="6F5D4C3A" w14:textId="77777777" w:rsidR="007D75A8" w:rsidRDefault="007D75A8">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0722" w14:textId="77777777" w:rsidR="007D75A8" w:rsidRDefault="007D75A8">
    <w:pPr>
      <w:widowControl w:val="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B69DC"/>
    <w:multiLevelType w:val="multilevel"/>
    <w:tmpl w:val="B942C9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6971BE"/>
    <w:multiLevelType w:val="multilevel"/>
    <w:tmpl w:val="8F4A79A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1ED7B1D"/>
    <w:multiLevelType w:val="multilevel"/>
    <w:tmpl w:val="DB8C3DC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94194462">
    <w:abstractNumId w:val="2"/>
  </w:num>
  <w:num w:numId="2" w16cid:durableId="757363793">
    <w:abstractNumId w:val="0"/>
  </w:num>
  <w:num w:numId="3" w16cid:durableId="789205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5A8"/>
    <w:rsid w:val="0012573F"/>
    <w:rsid w:val="007D75A8"/>
    <w:rsid w:val="00853FE4"/>
    <w:rsid w:val="00BB72A8"/>
    <w:rsid w:val="00C321FA"/>
    <w:rsid w:val="00DB5CA5"/>
    <w:rsid w:val="00F04FBA"/>
    <w:rsid w:val="00F27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A38F4"/>
  <w15:docId w15:val="{79C2CED4-9EBA-5442-97DE-06E0419B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0093D0"/>
      <w:sz w:val="28"/>
      <w:szCs w:val="28"/>
    </w:rPr>
  </w:style>
  <w:style w:type="paragraph" w:styleId="Heading2">
    <w:name w:val="heading 2"/>
    <w:basedOn w:val="Normal"/>
    <w:next w:val="Normal"/>
    <w:uiPriority w:val="9"/>
    <w:unhideWhenUsed/>
    <w:qFormat/>
    <w:pPr>
      <w:keepNext/>
      <w:keepLines/>
      <w:spacing w:before="280" w:after="80"/>
      <w:outlineLvl w:val="1"/>
    </w:pPr>
    <w:rPr>
      <w:b/>
      <w:bCs/>
      <w:sz w:val="26"/>
      <w:szCs w:val="26"/>
    </w:rPr>
  </w:style>
  <w:style w:type="paragraph" w:styleId="Heading3">
    <w:name w:val="heading 3"/>
    <w:basedOn w:val="Normal"/>
    <w:next w:val="Normal"/>
    <w:uiPriority w:val="9"/>
    <w:unhideWhenUsed/>
    <w:qFormat/>
    <w:pPr>
      <w:keepNext/>
      <w:keepLines/>
      <w:spacing w:before="280" w:after="80"/>
      <w:outlineLvl w:val="2"/>
    </w:pPr>
    <w:rPr>
      <w:b/>
      <w:bCs/>
    </w:rPr>
  </w:style>
  <w:style w:type="paragraph" w:styleId="Heading4">
    <w:name w:val="heading 4"/>
    <w:basedOn w:val="Normal"/>
    <w:next w:val="Normal"/>
    <w:uiPriority w:val="9"/>
    <w:unhideWhenUsed/>
    <w:qFormat/>
    <w:pPr>
      <w:keepNext/>
      <w:keepLines/>
      <w:spacing w:before="280" w:after="80"/>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sz w:val="48"/>
      <w:szCs w:val="48"/>
    </w:rPr>
  </w:style>
  <w:style w:type="paragraph" w:styleId="Subtitle">
    <w:name w:val="Subtitle"/>
    <w:basedOn w:val="Normal"/>
    <w:next w:val="Normal"/>
    <w:uiPriority w:val="11"/>
    <w:qFormat/>
    <w:pPr>
      <w:keepNext/>
      <w:keepLines/>
      <w:spacing w:after="320"/>
      <w:jc w:val="center"/>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B72A8"/>
    <w:pPr>
      <w:tabs>
        <w:tab w:val="center" w:pos="4680"/>
        <w:tab w:val="right" w:pos="9360"/>
      </w:tabs>
      <w:spacing w:line="240" w:lineRule="auto"/>
    </w:pPr>
  </w:style>
  <w:style w:type="character" w:customStyle="1" w:styleId="HeaderChar">
    <w:name w:val="Header Char"/>
    <w:basedOn w:val="DefaultParagraphFont"/>
    <w:link w:val="Header"/>
    <w:uiPriority w:val="99"/>
    <w:rsid w:val="00BB72A8"/>
  </w:style>
  <w:style w:type="paragraph" w:styleId="Footer">
    <w:name w:val="footer"/>
    <w:basedOn w:val="Normal"/>
    <w:link w:val="FooterChar"/>
    <w:uiPriority w:val="99"/>
    <w:unhideWhenUsed/>
    <w:rsid w:val="00BB72A8"/>
    <w:pPr>
      <w:tabs>
        <w:tab w:val="center" w:pos="4680"/>
        <w:tab w:val="right" w:pos="9360"/>
      </w:tabs>
      <w:spacing w:line="240" w:lineRule="auto"/>
    </w:pPr>
  </w:style>
  <w:style w:type="character" w:customStyle="1" w:styleId="FooterChar">
    <w:name w:val="Footer Char"/>
    <w:basedOn w:val="DefaultParagraphFont"/>
    <w:link w:val="Footer"/>
    <w:uiPriority w:val="99"/>
    <w:rsid w:val="00BB7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artinfowler.com/articles/data-mesh-principles.html" TargetMode="External"/><Relationship Id="rId18" Type="http://schemas.openxmlformats.org/officeDocument/2006/relationships/hyperlink" Target="https://cloud.google.com/adoption-framework" TargetMode="External"/><Relationship Id="rId26" Type="http://schemas.openxmlformats.org/officeDocument/2006/relationships/hyperlink" Target="https://doi.org/10.1109/52.795103" TargetMode="External"/><Relationship Id="rId39" Type="http://schemas.openxmlformats.org/officeDocument/2006/relationships/image" Target="media/image3.png"/><Relationship Id="rId21" Type="http://schemas.openxmlformats.org/officeDocument/2006/relationships/hyperlink" Target="https://www.thoughtworks.com/insights/articles/data-mesh-in-practice-getting-off-to-the-right-start" TargetMode="External"/><Relationship Id="rId34" Type="http://schemas.openxmlformats.org/officeDocument/2006/relationships/header" Target="header1.xm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09/CYBER.2015.7288049" TargetMode="External"/><Relationship Id="rId29" Type="http://schemas.openxmlformats.org/officeDocument/2006/relationships/hyperlink" Target="https://doi.org/10.6028/NIST.SP.500-292" TargetMode="External"/><Relationship Id="rId11" Type="http://schemas.openxmlformats.org/officeDocument/2006/relationships/hyperlink" Target="https://www.thoughtworks.com/en-us/insights/articles/embracing-strangler-fig-pattern-legacy-modernization-part-one" TargetMode="External"/><Relationship Id="rId24" Type="http://schemas.openxmlformats.org/officeDocument/2006/relationships/hyperlink" Target="https://www.thoughtworks.com/en-us/insights/articles/data-mesh-in-practice-technology-and-the-architecture" TargetMode="External"/><Relationship Id="rId32" Type="http://schemas.openxmlformats.org/officeDocument/2006/relationships/hyperlink" Target="https://www.congress.gov/bill/115th-congress/house-bill/4174" TargetMode="External"/><Relationship Id="rId37" Type="http://schemas.openxmlformats.org/officeDocument/2006/relationships/header" Target="header3.xml"/><Relationship Id="rId40" Type="http://schemas.openxmlformats.org/officeDocument/2006/relationships/image" Target="media/image4.png"/><Relationship Id="rId45" Type="http://schemas.openxmlformats.org/officeDocument/2006/relationships/image" Target="media/image9.png"/><Relationship Id="rId53" Type="http://schemas.openxmlformats.org/officeDocument/2006/relationships/image" Target="media/image17.png"/><Relationship Id="rId5" Type="http://schemas.openxmlformats.org/officeDocument/2006/relationships/footnotes" Target="footnotes.xml"/><Relationship Id="rId10" Type="http://schemas.openxmlformats.org/officeDocument/2006/relationships/hyperlink" Target="https://sustainablefuture.cio.com/building-on-intelligent-infrastructure/the-loreal-beauty-tech-data-platform-a-data-story-of-terabytes-and-serverless/" TargetMode="External"/><Relationship Id="rId19" Type="http://schemas.openxmlformats.org/officeDocument/2006/relationships/hyperlink" Target="https://cloud.google.com/architecture/framework" TargetMode="External"/><Relationship Id="rId31" Type="http://schemas.openxmlformats.org/officeDocument/2006/relationships/hyperlink" Target="https://doi.org/10.1145/1368088.1368160" TargetMode="External"/><Relationship Id="rId44" Type="http://schemas.openxmlformats.org/officeDocument/2006/relationships/image" Target="media/image8.png"/><Relationship Id="rId52"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martinfowler.com/articles/patterns-legacy-displacement/" TargetMode="External"/><Relationship Id="rId14" Type="http://schemas.openxmlformats.org/officeDocument/2006/relationships/hyperlink" Target="https://www.federalregister.gov/documents/2020/05/12/2020-10315/promoting-american-seafood-competitiveness-and-economic-growth" TargetMode="External"/><Relationship Id="rId22" Type="http://schemas.openxmlformats.org/officeDocument/2006/relationships/hyperlink" Target="https://www.thoughtworks.com/en-us/insights/articles/data-mesh-in-practice-organizational-operating-model" TargetMode="External"/><Relationship Id="rId27" Type="http://schemas.openxmlformats.org/officeDocument/2006/relationships/hyperlink" Target="https://doi.org/10.6028/NIST.SP.800-37r2" TargetMode="External"/><Relationship Id="rId30" Type="http://schemas.openxmlformats.org/officeDocument/2006/relationships/hyperlink" Target="https://www.fisheries.noaa.gov/resource/document/magnuson-stevens-fishery-conservation-and-management-act" TargetMode="External"/><Relationship Id="rId35" Type="http://schemas.openxmlformats.org/officeDocument/2006/relationships/header" Target="header2.xml"/><Relationship Id="rId43" Type="http://schemas.openxmlformats.org/officeDocument/2006/relationships/image" Target="media/image7.png"/><Relationship Id="rId48" Type="http://schemas.openxmlformats.org/officeDocument/2006/relationships/image" Target="media/image12.png"/><Relationship Id="rId8" Type="http://schemas.openxmlformats.org/officeDocument/2006/relationships/hyperlink" Target="https://www.thoughtworks.com/en-us/insights/articles/recommendations-for-a-successful-data-mesh-implementation" TargetMode="External"/><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martinfowler.com/articles/data-monolith-to-mesh.html" TargetMode="External"/><Relationship Id="rId17" Type="http://schemas.openxmlformats.org/officeDocument/2006/relationships/hyperlink" Target="https://www.congress.gov/bill/115th-congress/house-bill/4174" TargetMode="External"/><Relationship Id="rId25" Type="http://schemas.openxmlformats.org/officeDocument/2006/relationships/hyperlink" Target="https://dl.acm.org/doi/10.1145/3687301" TargetMode="External"/><Relationship Id="rId33" Type="http://schemas.openxmlformats.org/officeDocument/2006/relationships/image" Target="media/image2.png"/><Relationship Id="rId38" Type="http://schemas.openxmlformats.org/officeDocument/2006/relationships/footer" Target="footer2.xml"/><Relationship Id="rId46" Type="http://schemas.openxmlformats.org/officeDocument/2006/relationships/image" Target="media/image10.png"/><Relationship Id="rId20" Type="http://schemas.openxmlformats.org/officeDocument/2006/relationships/hyperlink" Target="https://cloud.google.com/customers/natwest-markets-dataplex?hl=en" TargetMode="External"/><Relationship Id="rId41" Type="http://schemas.openxmlformats.org/officeDocument/2006/relationships/image" Target="media/image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federalregister.gov/documents/2025/04/22/2025-07062/restoring-american-seafood-competitiveness" TargetMode="External"/><Relationship Id="rId23" Type="http://schemas.openxmlformats.org/officeDocument/2006/relationships/hyperlink" Target="https://www.thoughtworks.com/en-us/insights/articles/data-mesh-in-practice-product-thinking-and-development" TargetMode="External"/><Relationship Id="rId28" Type="http://schemas.openxmlformats.org/officeDocument/2006/relationships/hyperlink" Target="https://doi.org/10.6028/NIST.SP.800-53r5" TargetMode="External"/><Relationship Id="rId36" Type="http://schemas.openxmlformats.org/officeDocument/2006/relationships/footer" Target="footer1.xml"/><Relationship Id="rId49"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123</Pages>
  <Words>45214</Words>
  <Characters>257726</Characters>
  <Application>Microsoft Office Word</Application>
  <DocSecurity>0</DocSecurity>
  <Lines>2147</Lines>
  <Paragraphs>604</Paragraphs>
  <ScaleCrop>false</ScaleCrop>
  <Company/>
  <LinksUpToDate>false</LinksUpToDate>
  <CharactersWithSpaces>302336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Daniel Lee</cp:lastModifiedBy>
  <cp:revision>6</cp:revision>
  <dcterms:created xsi:type="dcterms:W3CDTF">2026-06-03T17:51:00Z</dcterms:created>
  <dcterms:modified xsi:type="dcterms:W3CDTF">2026-06-03T18:16:00Z</dcterms:modified>
</cp:coreProperties>
</file>