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9050EF" w:rsidP="000578C2">
            <w:pPr>
              <w:pStyle w:val="TitleHeader"/>
              <w:rPr>
                <w:i/>
              </w:rPr>
            </w:pPr>
            <w:r>
              <w:lastRenderedPageBreak/>
              <w:t>downy serviceberry</w:t>
            </w:r>
          </w:p>
        </w:tc>
      </w:tr>
      <w:tr w:rsidR="00CD49CC">
        <w:tc>
          <w:tcPr>
            <w:tcW w:w="4410" w:type="dxa"/>
          </w:tcPr>
          <w:p w:rsidR="00CD49CC" w:rsidRPr="008F3D5A" w:rsidRDefault="009050EF" w:rsidP="008F3D5A">
            <w:pPr>
              <w:pStyle w:val="Titlesubheader1"/>
              <w:rPr>
                <w:i/>
              </w:rPr>
            </w:pPr>
            <w:r>
              <w:rPr>
                <w:i/>
              </w:rPr>
              <w:t>Amelanchier arborea</w:t>
            </w:r>
            <w:r w:rsidR="000F1970" w:rsidRPr="008F3D5A">
              <w:t xml:space="preserve"> </w:t>
            </w:r>
            <w:r>
              <w:t>(Michx. f.) Fern.</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9050EF">
              <w:t>AMAR3</w:t>
            </w:r>
          </w:p>
        </w:tc>
      </w:tr>
    </w:tbl>
    <w:p w:rsidR="00CD49CC" w:rsidRPr="004A50AC" w:rsidRDefault="00CD49CC" w:rsidP="004A50AC">
      <w:pPr>
        <w:jc w:val="left"/>
        <w:rPr>
          <w:sz w:val="20"/>
        </w:rPr>
      </w:pPr>
    </w:p>
    <w:p w:rsidR="0053753A" w:rsidRPr="0053753A" w:rsidRDefault="0053753A" w:rsidP="0053753A">
      <w:pPr>
        <w:pStyle w:val="Heading7"/>
        <w:spacing w:before="0"/>
        <w:jc w:val="left"/>
        <w:rPr>
          <w:b w:val="0"/>
          <w:i/>
          <w:color w:val="auto"/>
          <w:sz w:val="20"/>
        </w:rPr>
      </w:pPr>
      <w:r w:rsidRPr="0053753A">
        <w:rPr>
          <w:b w:val="0"/>
          <w:i/>
          <w:color w:val="auto"/>
          <w:sz w:val="20"/>
        </w:rPr>
        <w:t xml:space="preserve">Contributed By: </w:t>
      </w:r>
      <w:smartTag w:uri="urn:schemas-microsoft-com:office:smarttags" w:element="PlaceName">
        <w:r w:rsidRPr="0053753A">
          <w:rPr>
            <w:b w:val="0"/>
            <w:i/>
            <w:color w:val="auto"/>
            <w:sz w:val="20"/>
          </w:rPr>
          <w:t>USDA</w:t>
        </w:r>
      </w:smartTag>
      <w:r w:rsidRPr="0053753A">
        <w:rPr>
          <w:b w:val="0"/>
          <w:i/>
          <w:color w:val="auto"/>
          <w:sz w:val="20"/>
        </w:rPr>
        <w:t xml:space="preserve"> </w:t>
      </w:r>
      <w:smartTag w:uri="urn:schemas-microsoft-com:office:smarttags" w:element="PlaceName">
        <w:r w:rsidRPr="0053753A">
          <w:rPr>
            <w:b w:val="0"/>
            <w:i/>
            <w:color w:val="auto"/>
            <w:sz w:val="20"/>
          </w:rPr>
          <w:t>NRCS</w:t>
        </w:r>
      </w:smartTag>
      <w:r w:rsidRPr="0053753A">
        <w:rPr>
          <w:b w:val="0"/>
          <w:i/>
          <w:color w:val="auto"/>
          <w:sz w:val="20"/>
        </w:rPr>
        <w:t xml:space="preserve"> </w:t>
      </w:r>
      <w:smartTag w:uri="urn:schemas-microsoft-com:office:smarttags" w:element="PlaceName">
        <w:r w:rsidRPr="0053753A">
          <w:rPr>
            <w:b w:val="0"/>
            <w:i/>
            <w:color w:val="auto"/>
            <w:sz w:val="20"/>
          </w:rPr>
          <w:t>National</w:t>
        </w:r>
      </w:smartTag>
      <w:r w:rsidRPr="0053753A">
        <w:rPr>
          <w:b w:val="0"/>
          <w:i/>
          <w:color w:val="auto"/>
          <w:sz w:val="20"/>
        </w:rPr>
        <w:t xml:space="preserve"> </w:t>
      </w:r>
      <w:smartTag w:uri="urn:schemas-microsoft-com:office:smarttags" w:element="PlaceName">
        <w:r w:rsidRPr="0053753A">
          <w:rPr>
            <w:b w:val="0"/>
            <w:i/>
            <w:color w:val="auto"/>
            <w:sz w:val="20"/>
          </w:rPr>
          <w:t>Plant</w:t>
        </w:r>
      </w:smartTag>
      <w:r w:rsidRPr="0053753A">
        <w:rPr>
          <w:b w:val="0"/>
          <w:i/>
          <w:color w:val="auto"/>
          <w:sz w:val="20"/>
        </w:rPr>
        <w:t xml:space="preserve"> </w:t>
      </w:r>
      <w:smartTag w:uri="urn:schemas-microsoft-com:office:smarttags" w:element="PlaceName">
        <w:r w:rsidRPr="0053753A">
          <w:rPr>
            <w:b w:val="0"/>
            <w:i/>
            <w:color w:val="auto"/>
            <w:sz w:val="20"/>
          </w:rPr>
          <w:t>Data</w:t>
        </w:r>
      </w:smartTag>
      <w:r w:rsidRPr="0053753A">
        <w:rPr>
          <w:b w:val="0"/>
          <w:i/>
          <w:color w:val="auto"/>
          <w:sz w:val="20"/>
        </w:rPr>
        <w:t xml:space="preserve"> </w:t>
      </w:r>
      <w:smartTag w:uri="urn:schemas-microsoft-com:office:smarttags" w:element="PlaceType">
        <w:r w:rsidRPr="0053753A">
          <w:rPr>
            <w:b w:val="0"/>
            <w:i/>
            <w:color w:val="auto"/>
            <w:sz w:val="20"/>
          </w:rPr>
          <w:t>Center</w:t>
        </w:r>
      </w:smartTag>
      <w:r w:rsidRPr="0053753A">
        <w:rPr>
          <w:b w:val="0"/>
          <w:i/>
          <w:color w:val="auto"/>
          <w:sz w:val="20"/>
        </w:rPr>
        <w:t xml:space="preserve"> &amp; Biota of </w:t>
      </w:r>
      <w:smartTag w:uri="urn:schemas-microsoft-com:office:smarttags" w:element="place">
        <w:r w:rsidRPr="0053753A">
          <w:rPr>
            <w:b w:val="0"/>
            <w:i/>
            <w:color w:val="auto"/>
            <w:sz w:val="20"/>
          </w:rPr>
          <w:t>North America</w:t>
        </w:r>
      </w:smartTag>
      <w:r w:rsidRPr="0053753A">
        <w:rPr>
          <w:b w:val="0"/>
          <w:i/>
          <w:color w:val="auto"/>
          <w:sz w:val="20"/>
        </w:rPr>
        <w:t xml:space="preserve"> Program</w:t>
      </w:r>
    </w:p>
    <w:p w:rsidR="0053753A" w:rsidRPr="0053753A" w:rsidRDefault="0053753A" w:rsidP="0053753A">
      <w:pPr>
        <w:jc w:val="left"/>
        <w:rPr>
          <w:sz w:val="20"/>
        </w:rPr>
      </w:pPr>
    </w:p>
    <w:p w:rsidR="0053753A" w:rsidRPr="001D030B" w:rsidRDefault="0053753A" w:rsidP="0053753A">
      <w:pPr>
        <w:pStyle w:val="Heading3"/>
        <w:ind w:left="0" w:right="0"/>
        <w:jc w:val="left"/>
        <w:rPr>
          <w:color w:val="auto"/>
          <w:sz w:val="24"/>
          <w:szCs w:val="24"/>
        </w:rPr>
      </w:pPr>
      <w:r w:rsidRPr="001D030B">
        <w:rPr>
          <w:color w:val="auto"/>
          <w:sz w:val="24"/>
          <w:szCs w:val="24"/>
        </w:rPr>
        <w:t>Alternate common names</w:t>
      </w:r>
    </w:p>
    <w:p w:rsidR="0053753A" w:rsidRPr="001D030B" w:rsidRDefault="0053753A" w:rsidP="0053753A">
      <w:pPr>
        <w:jc w:val="left"/>
        <w:rPr>
          <w:szCs w:val="24"/>
        </w:rPr>
      </w:pPr>
      <w:r w:rsidRPr="001D030B">
        <w:rPr>
          <w:szCs w:val="24"/>
        </w:rPr>
        <w:t>Sarvis-berry, shadblow, shadbush, juneberry, sugarplum, Indian cherry</w:t>
      </w:r>
    </w:p>
    <w:p w:rsidR="0053753A" w:rsidRPr="001D030B" w:rsidRDefault="0053753A" w:rsidP="0053753A">
      <w:pPr>
        <w:jc w:val="left"/>
        <w:rPr>
          <w:szCs w:val="24"/>
        </w:rPr>
      </w:pPr>
    </w:p>
    <w:p w:rsidR="0053753A" w:rsidRPr="001D030B" w:rsidRDefault="0053753A" w:rsidP="0053753A">
      <w:pPr>
        <w:pStyle w:val="Heading3"/>
        <w:ind w:left="0" w:right="0"/>
        <w:jc w:val="left"/>
        <w:rPr>
          <w:color w:val="auto"/>
          <w:sz w:val="24"/>
          <w:szCs w:val="24"/>
        </w:rPr>
      </w:pPr>
      <w:r w:rsidRPr="001D030B">
        <w:rPr>
          <w:color w:val="auto"/>
          <w:sz w:val="24"/>
          <w:szCs w:val="24"/>
        </w:rPr>
        <w:t>Uses</w:t>
      </w:r>
    </w:p>
    <w:p w:rsidR="0053753A" w:rsidRPr="001D030B" w:rsidRDefault="0053753A" w:rsidP="0053753A">
      <w:pPr>
        <w:jc w:val="left"/>
        <w:rPr>
          <w:szCs w:val="24"/>
        </w:rPr>
      </w:pPr>
      <w:r w:rsidRPr="001D030B">
        <w:rPr>
          <w:szCs w:val="24"/>
        </w:rPr>
        <w:t xml:space="preserve">Trees of downy serviceberry are generally not large enough for sawtimber but they have been used for pulpwood.  The wood is extremely heavy and hard and is occasionally made into tool handles.  Cree Indians prized it for making arrows.   </w:t>
      </w:r>
    </w:p>
    <w:p w:rsidR="0053753A" w:rsidRPr="001D030B" w:rsidRDefault="0053753A" w:rsidP="0053753A">
      <w:pPr>
        <w:jc w:val="left"/>
        <w:rPr>
          <w:szCs w:val="24"/>
        </w:rPr>
      </w:pPr>
    </w:p>
    <w:p w:rsidR="0053753A" w:rsidRPr="001D030B" w:rsidRDefault="0053753A" w:rsidP="0053753A">
      <w:pPr>
        <w:jc w:val="left"/>
        <w:rPr>
          <w:szCs w:val="24"/>
        </w:rPr>
      </w:pPr>
      <w:r w:rsidRPr="001D030B">
        <w:rPr>
          <w:szCs w:val="24"/>
        </w:rPr>
        <w:t xml:space="preserve">At least 40 bird species (for example, mockingbirds, cardinals, cedar waxwings, towhees, Baltimore orioles) eat the fruit of </w:t>
      </w:r>
      <w:r w:rsidRPr="001D030B">
        <w:rPr>
          <w:i/>
          <w:szCs w:val="24"/>
        </w:rPr>
        <w:t>Amelanchier</w:t>
      </w:r>
      <w:r w:rsidRPr="001D030B">
        <w:rPr>
          <w:szCs w:val="24"/>
        </w:rPr>
        <w:t xml:space="preserve"> species.  Mammals that either eat the fruit or browse the twigs and leaves of downy serviceberry include squirrels, rabbits, chipmunks, mice, voles, foxes, black bears, deer, and elk.  The fruits taste similar to blueberry – they are eaten fresh or cooked in pastries or puddings.  </w:t>
      </w:r>
    </w:p>
    <w:p w:rsidR="0053753A" w:rsidRPr="001D030B" w:rsidRDefault="0053753A" w:rsidP="0053753A">
      <w:pPr>
        <w:jc w:val="left"/>
        <w:rPr>
          <w:szCs w:val="24"/>
        </w:rPr>
      </w:pPr>
    </w:p>
    <w:p w:rsidR="0053753A" w:rsidRPr="001D030B" w:rsidRDefault="0053753A" w:rsidP="0053753A">
      <w:pPr>
        <w:jc w:val="left"/>
        <w:rPr>
          <w:szCs w:val="24"/>
        </w:rPr>
      </w:pPr>
      <w:r w:rsidRPr="001D030B">
        <w:rPr>
          <w:szCs w:val="24"/>
        </w:rPr>
        <w:t xml:space="preserve">The trees are used as ornamentals and many cultivars have been selected for variation in growth habit, flower size and color, and leaf color.  The fall foliage blends orange and gold with red and green.  It grows in partial </w:t>
      </w:r>
      <w:r w:rsidRPr="001D030B">
        <w:rPr>
          <w:szCs w:val="24"/>
        </w:rPr>
        <w:lastRenderedPageBreak/>
        <w:t xml:space="preserve">shade to full sun, preferring moist but well-drained soil but will also grow in dry sites. </w:t>
      </w:r>
    </w:p>
    <w:p w:rsidR="0053753A" w:rsidRPr="001D030B" w:rsidRDefault="0053753A" w:rsidP="0053753A">
      <w:pPr>
        <w:jc w:val="left"/>
        <w:rPr>
          <w:szCs w:val="24"/>
        </w:rPr>
      </w:pPr>
    </w:p>
    <w:p w:rsidR="0053753A" w:rsidRPr="001D030B" w:rsidRDefault="0053753A" w:rsidP="0053753A">
      <w:pPr>
        <w:pStyle w:val="Heading3"/>
        <w:ind w:left="0" w:right="0"/>
        <w:jc w:val="left"/>
        <w:rPr>
          <w:color w:val="auto"/>
          <w:sz w:val="24"/>
          <w:szCs w:val="24"/>
        </w:rPr>
      </w:pPr>
      <w:r w:rsidRPr="001D030B">
        <w:rPr>
          <w:color w:val="auto"/>
          <w:sz w:val="24"/>
          <w:szCs w:val="24"/>
        </w:rPr>
        <w:t>Status</w:t>
      </w:r>
    </w:p>
    <w:p w:rsidR="0053753A" w:rsidRPr="001D030B" w:rsidRDefault="0053753A" w:rsidP="0053753A">
      <w:pPr>
        <w:jc w:val="left"/>
        <w:rPr>
          <w:szCs w:val="24"/>
        </w:rPr>
      </w:pPr>
      <w:r w:rsidRPr="001D030B">
        <w:rPr>
          <w:szCs w:val="24"/>
        </w:rPr>
        <w:t>Please consult the PLANTS Web site and your State Department of Natural Resources for this plant’s current status, such as, state status and wetland indicator values.</w:t>
      </w:r>
    </w:p>
    <w:p w:rsidR="0053753A" w:rsidRPr="001D030B" w:rsidRDefault="0053753A" w:rsidP="0053753A">
      <w:pPr>
        <w:jc w:val="left"/>
        <w:rPr>
          <w:szCs w:val="24"/>
        </w:rPr>
      </w:pPr>
    </w:p>
    <w:p w:rsidR="0053753A" w:rsidRPr="001D030B" w:rsidRDefault="0053753A" w:rsidP="0053753A">
      <w:pPr>
        <w:pStyle w:val="Heading3"/>
        <w:ind w:left="0" w:right="0"/>
        <w:jc w:val="left"/>
        <w:rPr>
          <w:color w:val="auto"/>
          <w:sz w:val="24"/>
          <w:szCs w:val="24"/>
        </w:rPr>
      </w:pPr>
      <w:r w:rsidRPr="001D030B">
        <w:rPr>
          <w:color w:val="auto"/>
          <w:sz w:val="24"/>
          <w:szCs w:val="24"/>
        </w:rPr>
        <w:t>Description</w:t>
      </w:r>
    </w:p>
    <w:p w:rsidR="0053753A" w:rsidRPr="001D030B" w:rsidRDefault="001D030B" w:rsidP="0053753A">
      <w:pPr>
        <w:jc w:val="left"/>
        <w:rPr>
          <w:szCs w:val="24"/>
        </w:rPr>
      </w:pPr>
      <w:r>
        <w:rPr>
          <w:noProof/>
          <w:szCs w:val="24"/>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-5147945</wp:posOffset>
                </wp:positionV>
                <wp:extent cx="2651760" cy="2103120"/>
                <wp:effectExtent l="0" t="0" r="0" b="0"/>
                <wp:wrapTopAndBottom/>
                <wp:docPr id="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103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753A" w:rsidRDefault="000616A3" w:rsidP="0053753A">
                            <w:r>
                              <w:rPr>
                                <w:noProof/>
                              </w:rPr>
                              <w:drawing>
                                <wp:inline distT="0" distB="0" distL="0" distR="0" wp14:anchorId="006DE110" wp14:editId="125FC07D">
                                  <wp:extent cx="2466975" cy="1638300"/>
                                  <wp:effectExtent l="19050" t="0" r="9525" b="0"/>
                                  <wp:docPr id="1" name="Picture 1" descr="Image of Downy serviceberry (Amelanchier arbo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Downy serviceberry (Amelanchier arborea)"/>
                                          <pic:cNvPicPr>
                                            <a:picLocks noChangeAspect="1" noChangeArrowheads="1"/>
                                          </pic:cNvPicPr>
                                        </pic:nvPicPr>
                                        <pic:blipFill>
                                          <a:blip r:embed="rId10"/>
                                          <a:srcRect/>
                                          <a:stretch>
                                            <a:fillRect/>
                                          </a:stretch>
                                        </pic:blipFill>
                                        <pic:spPr bwMode="auto">
                                          <a:xfrm>
                                            <a:off x="0" y="0"/>
                                            <a:ext cx="2466975" cy="1638300"/>
                                          </a:xfrm>
                                          <a:prstGeom prst="rect">
                                            <a:avLst/>
                                          </a:prstGeom>
                                          <a:noFill/>
                                          <a:ln w="9525">
                                            <a:noFill/>
                                            <a:miter lim="800000"/>
                                            <a:headEnd/>
                                            <a:tailEnd/>
                                          </a:ln>
                                        </pic:spPr>
                                      </pic:pic>
                                    </a:graphicData>
                                  </a:graphic>
                                </wp:inline>
                              </w:drawing>
                            </w:r>
                          </w:p>
                          <w:p w:rsidR="0053753A" w:rsidRDefault="0053753A" w:rsidP="0053753A">
                            <w:pPr>
                              <w:jc w:val="right"/>
                              <w:rPr>
                                <w:sz w:val="16"/>
                              </w:rPr>
                            </w:pPr>
                            <w:r>
                              <w:rPr>
                                <w:sz w:val="16"/>
                              </w:rPr>
                              <w:sym w:font="Symbol" w:char="F0D3"/>
                            </w:r>
                            <w:r>
                              <w:rPr>
                                <w:sz w:val="16"/>
                              </w:rPr>
                              <w:t xml:space="preserve"> William S. Justice</w:t>
                            </w:r>
                          </w:p>
                          <w:p w:rsidR="0053753A" w:rsidRDefault="0053753A" w:rsidP="0053753A">
                            <w:pPr>
                              <w:jc w:val="right"/>
                              <w:rPr>
                                <w:sz w:val="16"/>
                              </w:rPr>
                            </w:pPr>
                            <w:r>
                              <w:rPr>
                                <w:sz w:val="16"/>
                              </w:rPr>
                              <w:t>Botany Dept., NMNH, Smithsonian Institution</w:t>
                            </w:r>
                          </w:p>
                          <w:p w:rsidR="0053753A" w:rsidRDefault="0053753A" w:rsidP="0053753A">
                            <w:pPr>
                              <w:jc w:val="right"/>
                              <w:rPr>
                                <w:sz w:val="16"/>
                              </w:rPr>
                            </w:pPr>
                            <w:r>
                              <w:rPr>
                                <w:sz w:val="16"/>
                              </w:rPr>
                              <w:t>@ PLANTS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0;margin-top:-405.35pt;width:208.8pt;height:16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I6FgwIAABE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" o:allowincell="f" stroked="f">
                <v:textbox>
                  <w:txbxContent>
                    <w:p w:rsidR="0053753A" w:rsidRDefault="000616A3" w:rsidP="0053753A">
                      <w:r>
                        <w:rPr>
                          <w:noProof/>
                        </w:rPr>
                        <w:drawing>
                          <wp:inline distT="0" distB="0" distL="0" distR="0" wp14:anchorId="006DE110" wp14:editId="125FC07D">
                            <wp:extent cx="2466975" cy="1638300"/>
                            <wp:effectExtent l="19050" t="0" r="9525" b="0"/>
                            <wp:docPr id="1" name="Picture 1" descr="Image of Downy serviceberry (Amelanchier arbo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Downy serviceberry (Amelanchier arborea)"/>
                                    <pic:cNvPicPr>
                                      <a:picLocks noChangeAspect="1" noChangeArrowheads="1"/>
                                    </pic:cNvPicPr>
                                  </pic:nvPicPr>
                                  <pic:blipFill>
                                    <a:blip r:embed="rId10"/>
                                    <a:srcRect/>
                                    <a:stretch>
                                      <a:fillRect/>
                                    </a:stretch>
                                  </pic:blipFill>
                                  <pic:spPr bwMode="auto">
                                    <a:xfrm>
                                      <a:off x="0" y="0"/>
                                      <a:ext cx="2466975" cy="1638300"/>
                                    </a:xfrm>
                                    <a:prstGeom prst="rect">
                                      <a:avLst/>
                                    </a:prstGeom>
                                    <a:noFill/>
                                    <a:ln w="9525">
                                      <a:noFill/>
                                      <a:miter lim="800000"/>
                                      <a:headEnd/>
                                      <a:tailEnd/>
                                    </a:ln>
                                  </pic:spPr>
                                </pic:pic>
                              </a:graphicData>
                            </a:graphic>
                          </wp:inline>
                        </w:drawing>
                      </w:r>
                    </w:p>
                    <w:p w:rsidR="0053753A" w:rsidRDefault="0053753A" w:rsidP="0053753A">
                      <w:pPr>
                        <w:jc w:val="right"/>
                        <w:rPr>
                          <w:sz w:val="16"/>
                        </w:rPr>
                      </w:pPr>
                      <w:r>
                        <w:rPr>
                          <w:sz w:val="16"/>
                        </w:rPr>
                        <w:sym w:font="Symbol" w:char="F0D3"/>
                      </w:r>
                      <w:r>
                        <w:rPr>
                          <w:sz w:val="16"/>
                        </w:rPr>
                        <w:t xml:space="preserve"> William S. Justice</w:t>
                      </w:r>
                    </w:p>
                    <w:p w:rsidR="0053753A" w:rsidRDefault="0053753A" w:rsidP="0053753A">
                      <w:pPr>
                        <w:jc w:val="right"/>
                        <w:rPr>
                          <w:sz w:val="16"/>
                        </w:rPr>
                      </w:pPr>
                      <w:r>
                        <w:rPr>
                          <w:sz w:val="16"/>
                        </w:rPr>
                        <w:t>Botany Dept., NMNH, Smithsonian Institution</w:t>
                      </w:r>
                    </w:p>
                    <w:p w:rsidR="0053753A" w:rsidRDefault="0053753A" w:rsidP="0053753A">
                      <w:pPr>
                        <w:jc w:val="right"/>
                        <w:rPr>
                          <w:sz w:val="16"/>
                        </w:rPr>
                      </w:pPr>
                      <w:r>
                        <w:rPr>
                          <w:sz w:val="16"/>
                        </w:rPr>
                        <w:t>@ PLANTS</w:t>
                      </w:r>
                    </w:p>
                  </w:txbxContent>
                </v:textbox>
                <w10:wrap type="topAndBottom"/>
              </v:shape>
            </w:pict>
          </mc:Fallback>
        </mc:AlternateContent>
      </w:r>
      <w:r w:rsidR="0053753A" w:rsidRPr="001D030B">
        <w:rPr>
          <w:szCs w:val="24"/>
        </w:rPr>
        <w:t>Rose Family (Rosaceae).  Native shrubs or small trees to 10 meters tall, with a narrow, rounded crown, the twigs often red-brown to purplish, becoming gray; bark smooth, grayish, "striped" with vertical fissures and very ornamental.  Leaves: deciduous, alternate, simple, oval to oblong, 5-13 cm long, glabrous above, pubescent and paler beneath, the base rounded or heart-shaped, acute or acuminate at the tip, with finely toothed margins.  Flowers: 3-15 in elongate clusters at the branch tips, before the leaves appear; petals 5, white, 10-14 mm long and strap-like.  Fruits 6-12 mm wide, on long stalks, red-purple at maturity; seed 5-10 per fruit.  The common name: in some regions, the flowers are gathered for church services, hence serviceberry or sarvis-berry; or “service” from “sarvis,” in turn a modification of the older name “</w:t>
      </w:r>
      <w:r w:rsidR="0053753A" w:rsidRPr="001D030B">
        <w:rPr>
          <w:i/>
          <w:szCs w:val="24"/>
        </w:rPr>
        <w:t>Sorbus</w:t>
      </w:r>
      <w:r w:rsidR="0053753A" w:rsidRPr="001D030B">
        <w:rPr>
          <w:szCs w:val="24"/>
        </w:rPr>
        <w:t xml:space="preserve">,” a closely related genus.  </w:t>
      </w:r>
    </w:p>
    <w:p w:rsidR="0053753A" w:rsidRPr="001D030B" w:rsidRDefault="0053753A" w:rsidP="0053753A">
      <w:pPr>
        <w:jc w:val="left"/>
        <w:rPr>
          <w:szCs w:val="24"/>
        </w:rPr>
      </w:pPr>
    </w:p>
    <w:p w:rsidR="0053753A" w:rsidRPr="001D030B" w:rsidRDefault="0053753A" w:rsidP="0053753A">
      <w:pPr>
        <w:jc w:val="left"/>
        <w:rPr>
          <w:szCs w:val="24"/>
        </w:rPr>
      </w:pPr>
      <w:r w:rsidRPr="001D030B">
        <w:rPr>
          <w:i/>
          <w:szCs w:val="24"/>
        </w:rPr>
        <w:t>Variation within the species</w:t>
      </w:r>
      <w:r w:rsidRPr="001D030B">
        <w:rPr>
          <w:szCs w:val="24"/>
        </w:rPr>
        <w:t xml:space="preserve">: Three varieties have been recognized: var. </w:t>
      </w:r>
      <w:r w:rsidRPr="001D030B">
        <w:rPr>
          <w:i/>
          <w:szCs w:val="24"/>
        </w:rPr>
        <w:t xml:space="preserve">alabamensis </w:t>
      </w:r>
      <w:r w:rsidRPr="001D030B">
        <w:rPr>
          <w:szCs w:val="24"/>
        </w:rPr>
        <w:t xml:space="preserve">(Britt.) G.N. Jones; var. </w:t>
      </w:r>
      <w:r w:rsidRPr="001D030B">
        <w:rPr>
          <w:i/>
          <w:szCs w:val="24"/>
        </w:rPr>
        <w:t>arborea</w:t>
      </w:r>
      <w:r w:rsidRPr="001D030B">
        <w:rPr>
          <w:szCs w:val="24"/>
        </w:rPr>
        <w:t xml:space="preserve">; and var. </w:t>
      </w:r>
      <w:r w:rsidRPr="001D030B">
        <w:rPr>
          <w:i/>
          <w:szCs w:val="24"/>
        </w:rPr>
        <w:t xml:space="preserve">austromontana </w:t>
      </w:r>
      <w:r w:rsidRPr="001D030B">
        <w:rPr>
          <w:szCs w:val="24"/>
        </w:rPr>
        <w:t>(Ashe) Ahles.</w:t>
      </w:r>
    </w:p>
    <w:p w:rsidR="0053753A" w:rsidRPr="001D030B" w:rsidRDefault="0053753A" w:rsidP="0053753A">
      <w:pPr>
        <w:jc w:val="left"/>
        <w:rPr>
          <w:szCs w:val="24"/>
        </w:rPr>
      </w:pPr>
    </w:p>
    <w:p w:rsidR="0053753A" w:rsidRPr="001D030B" w:rsidRDefault="0053753A" w:rsidP="0053753A">
      <w:pPr>
        <w:pStyle w:val="Heading3"/>
        <w:ind w:left="0" w:right="0"/>
        <w:jc w:val="left"/>
        <w:rPr>
          <w:color w:val="auto"/>
          <w:sz w:val="24"/>
          <w:szCs w:val="24"/>
        </w:rPr>
      </w:pPr>
      <w:r w:rsidRPr="001D030B">
        <w:rPr>
          <w:color w:val="auto"/>
          <w:sz w:val="24"/>
          <w:szCs w:val="24"/>
        </w:rPr>
        <w:lastRenderedPageBreak/>
        <w:t xml:space="preserve">Distribution </w:t>
      </w:r>
    </w:p>
    <w:p w:rsidR="0053753A" w:rsidRPr="001D030B" w:rsidRDefault="0053753A" w:rsidP="0053753A">
      <w:pPr>
        <w:jc w:val="left"/>
        <w:rPr>
          <w:szCs w:val="24"/>
        </w:rPr>
      </w:pPr>
      <w:r w:rsidRPr="001D030B">
        <w:rPr>
          <w:szCs w:val="24"/>
        </w:rPr>
        <w:t xml:space="preserve">Downy serviceberry is widespread in the eastern US and southeastern Canada (New Brunswick and southern Newfoundland to Quebec and Ontario); south to the northern tip of the Florida Panhandle and west to Alabama, southern Mississippi, Louisiana and Texas (rare), Oklahoma, Kansas, Nebraska, and Minnesota.   </w:t>
      </w:r>
    </w:p>
    <w:p w:rsidR="0053753A" w:rsidRPr="001D030B" w:rsidRDefault="0053753A" w:rsidP="0053753A">
      <w:pPr>
        <w:ind w:firstLine="720"/>
        <w:jc w:val="left"/>
        <w:rPr>
          <w:szCs w:val="24"/>
        </w:rPr>
      </w:pPr>
    </w:p>
    <w:p w:rsidR="0053753A" w:rsidRPr="001D030B" w:rsidRDefault="0053753A" w:rsidP="0053753A">
      <w:pPr>
        <w:pStyle w:val="Heading3"/>
        <w:ind w:left="0" w:right="0"/>
        <w:jc w:val="left"/>
        <w:rPr>
          <w:color w:val="auto"/>
          <w:sz w:val="24"/>
          <w:szCs w:val="24"/>
        </w:rPr>
      </w:pPr>
      <w:r w:rsidRPr="001D030B">
        <w:rPr>
          <w:color w:val="auto"/>
          <w:sz w:val="24"/>
          <w:szCs w:val="24"/>
        </w:rPr>
        <w:t xml:space="preserve">Adaptation </w:t>
      </w:r>
    </w:p>
    <w:p w:rsidR="0053753A" w:rsidRPr="001D030B" w:rsidRDefault="0053753A" w:rsidP="0053753A">
      <w:pPr>
        <w:jc w:val="left"/>
        <w:rPr>
          <w:szCs w:val="24"/>
        </w:rPr>
      </w:pPr>
      <w:r w:rsidRPr="001D030B">
        <w:rPr>
          <w:szCs w:val="24"/>
        </w:rPr>
        <w:t xml:space="preserve">Downy serviceberry grows in a variety of habitats – swampy lowlands, dry woods, sandy bluffs, rocky ridges, forest edges, and open woodlands and fields.  It is a late successional to climax species in mixed-hardwood forests of the central U.S., commonly as an understory species.  In the southern Appalachians, downy serviceberry grows in red spruce-Fraser fir forests at elevations of 1500-2000 meters with yellow birch, mountain ash, elderberry, and hobblebush.  Flowering (March-)April-May, among the first of the early spring trees and shrubs to bloom; fruiting June-August.  </w:t>
      </w:r>
    </w:p>
    <w:p w:rsidR="0053753A" w:rsidRPr="001D030B" w:rsidRDefault="0053753A" w:rsidP="0053753A">
      <w:pPr>
        <w:jc w:val="left"/>
        <w:rPr>
          <w:szCs w:val="24"/>
        </w:rPr>
      </w:pPr>
    </w:p>
    <w:p w:rsidR="0053753A" w:rsidRPr="001D030B" w:rsidRDefault="0053753A" w:rsidP="0053753A">
      <w:pPr>
        <w:pStyle w:val="Heading3"/>
        <w:ind w:left="0" w:right="0"/>
        <w:jc w:val="left"/>
        <w:rPr>
          <w:color w:val="auto"/>
          <w:sz w:val="24"/>
          <w:szCs w:val="24"/>
        </w:rPr>
      </w:pPr>
      <w:r w:rsidRPr="001D030B">
        <w:rPr>
          <w:color w:val="auto"/>
          <w:sz w:val="24"/>
          <w:szCs w:val="24"/>
        </w:rPr>
        <w:t>Establishment</w:t>
      </w:r>
    </w:p>
    <w:p w:rsidR="0053753A" w:rsidRPr="001D030B" w:rsidRDefault="0053753A" w:rsidP="0053753A">
      <w:pPr>
        <w:jc w:val="left"/>
        <w:rPr>
          <w:b/>
          <w:szCs w:val="24"/>
        </w:rPr>
      </w:pPr>
      <w:r w:rsidRPr="001D030B">
        <w:rPr>
          <w:szCs w:val="24"/>
        </w:rPr>
        <w:t>Downy serviceberry regenerates mainly by seed, but</w:t>
      </w:r>
    </w:p>
    <w:p w:rsidR="0053753A" w:rsidRPr="001D030B" w:rsidRDefault="0053753A" w:rsidP="0053753A">
      <w:pPr>
        <w:jc w:val="left"/>
        <w:rPr>
          <w:szCs w:val="24"/>
        </w:rPr>
      </w:pPr>
      <w:r w:rsidRPr="001D030B">
        <w:rPr>
          <w:szCs w:val="24"/>
        </w:rPr>
        <w:t xml:space="preserve">it also sprouts from the roots.  Birds and mammals disperse seeds; scarification of the seeds after ingestion by birds is important for germination.  Seeds can be sown after 2-6 months of cold stratification, but they will not usually germinate until after the second spring.   </w:t>
      </w:r>
    </w:p>
    <w:p w:rsidR="0053753A" w:rsidRPr="001D030B" w:rsidRDefault="0053753A" w:rsidP="0053753A">
      <w:pPr>
        <w:jc w:val="left"/>
        <w:rPr>
          <w:szCs w:val="24"/>
        </w:rPr>
      </w:pPr>
    </w:p>
    <w:p w:rsidR="0053753A" w:rsidRPr="001D030B" w:rsidRDefault="0053753A" w:rsidP="0053753A">
      <w:pPr>
        <w:pStyle w:val="Heading3"/>
        <w:ind w:left="0" w:right="0"/>
        <w:jc w:val="left"/>
        <w:rPr>
          <w:color w:val="auto"/>
          <w:sz w:val="24"/>
          <w:szCs w:val="24"/>
        </w:rPr>
      </w:pPr>
      <w:r w:rsidRPr="001D030B">
        <w:rPr>
          <w:color w:val="auto"/>
          <w:sz w:val="24"/>
          <w:szCs w:val="24"/>
        </w:rPr>
        <w:t>Management</w:t>
      </w:r>
    </w:p>
    <w:p w:rsidR="0053753A" w:rsidRPr="001D030B" w:rsidRDefault="0053753A" w:rsidP="0053753A">
      <w:pPr>
        <w:jc w:val="left"/>
        <w:rPr>
          <w:szCs w:val="24"/>
        </w:rPr>
      </w:pPr>
      <w:r w:rsidRPr="001D030B">
        <w:rPr>
          <w:szCs w:val="24"/>
        </w:rPr>
        <w:t xml:space="preserve">Fire top-kills downy serviceberry, but it can sprout from root crowns and stumps following fire.  A significant portion of the post-fir reestablishment is from seed dispersed from off-site by birds and mammals.  Following wildfire in a spruce-fir forest of Appalachia, downy serviceberry was present in stands after 30 years but was </w:t>
      </w:r>
      <w:r w:rsidRPr="001D030B">
        <w:rPr>
          <w:szCs w:val="24"/>
        </w:rPr>
        <w:lastRenderedPageBreak/>
        <w:t>less than 1% of the total basal area.   Gypsy moth larvae (</w:t>
      </w:r>
      <w:r w:rsidRPr="001D030B">
        <w:rPr>
          <w:i/>
          <w:szCs w:val="24"/>
        </w:rPr>
        <w:t>Lymantria dispar</w:t>
      </w:r>
      <w:r w:rsidRPr="001D030B">
        <w:rPr>
          <w:szCs w:val="24"/>
        </w:rPr>
        <w:t xml:space="preserve">) feed selectively on downy serviceberry.   </w:t>
      </w:r>
    </w:p>
    <w:p w:rsidR="0053753A" w:rsidRPr="001D030B" w:rsidRDefault="0053753A" w:rsidP="0053753A">
      <w:pPr>
        <w:jc w:val="left"/>
        <w:rPr>
          <w:szCs w:val="24"/>
        </w:rPr>
      </w:pPr>
    </w:p>
    <w:p w:rsidR="0053753A" w:rsidRPr="001D030B" w:rsidRDefault="0053753A" w:rsidP="0053753A">
      <w:pPr>
        <w:pStyle w:val="Heading3"/>
        <w:ind w:left="0" w:right="0"/>
        <w:jc w:val="left"/>
        <w:rPr>
          <w:color w:val="auto"/>
          <w:sz w:val="24"/>
          <w:szCs w:val="24"/>
        </w:rPr>
      </w:pPr>
      <w:r w:rsidRPr="001D030B">
        <w:rPr>
          <w:color w:val="auto"/>
          <w:sz w:val="24"/>
          <w:szCs w:val="24"/>
        </w:rPr>
        <w:t>Cultivars, Improved and Selected Materials (and area of origin)</w:t>
      </w:r>
    </w:p>
    <w:p w:rsidR="0053753A" w:rsidRPr="001D030B" w:rsidRDefault="0053753A" w:rsidP="0053753A">
      <w:pPr>
        <w:jc w:val="left"/>
        <w:rPr>
          <w:szCs w:val="24"/>
        </w:rPr>
      </w:pPr>
      <w:r w:rsidRPr="001D030B">
        <w:rPr>
          <w:szCs w:val="24"/>
        </w:rPr>
        <w:t xml:space="preserve">Natural, fertile hybrids occur between downy serviceberry and </w:t>
      </w:r>
      <w:r w:rsidRPr="001D030B">
        <w:rPr>
          <w:i/>
          <w:szCs w:val="24"/>
        </w:rPr>
        <w:t>A. bartramiana</w:t>
      </w:r>
      <w:r w:rsidRPr="001D030B">
        <w:rPr>
          <w:szCs w:val="24"/>
        </w:rPr>
        <w:t xml:space="preserve">, </w:t>
      </w:r>
      <w:r w:rsidRPr="001D030B">
        <w:rPr>
          <w:i/>
          <w:szCs w:val="24"/>
        </w:rPr>
        <w:t>A. canadensis</w:t>
      </w:r>
      <w:r w:rsidRPr="001D030B">
        <w:rPr>
          <w:szCs w:val="24"/>
        </w:rPr>
        <w:t xml:space="preserve">, </w:t>
      </w:r>
      <w:r w:rsidRPr="001D030B">
        <w:rPr>
          <w:i/>
          <w:szCs w:val="24"/>
        </w:rPr>
        <w:t>A. humilis</w:t>
      </w:r>
      <w:r w:rsidRPr="001D030B">
        <w:rPr>
          <w:szCs w:val="24"/>
        </w:rPr>
        <w:t xml:space="preserve">, and </w:t>
      </w:r>
      <w:r w:rsidRPr="001D030B">
        <w:rPr>
          <w:i/>
          <w:szCs w:val="24"/>
        </w:rPr>
        <w:t>A. laevis</w:t>
      </w:r>
      <w:r w:rsidRPr="001D030B">
        <w:rPr>
          <w:szCs w:val="24"/>
        </w:rPr>
        <w:t xml:space="preserve">.   Some cultivars are selections from </w:t>
      </w:r>
      <w:r w:rsidRPr="001D030B">
        <w:rPr>
          <w:i/>
          <w:szCs w:val="24"/>
        </w:rPr>
        <w:t>A.</w:t>
      </w:r>
      <w:r w:rsidRPr="001D030B">
        <w:rPr>
          <w:szCs w:val="24"/>
        </w:rPr>
        <w:t xml:space="preserve"> X </w:t>
      </w:r>
      <w:r w:rsidRPr="001D030B">
        <w:rPr>
          <w:i/>
          <w:szCs w:val="24"/>
        </w:rPr>
        <w:t>grandiflora</w:t>
      </w:r>
      <w:r w:rsidRPr="001D030B">
        <w:rPr>
          <w:szCs w:val="24"/>
        </w:rPr>
        <w:t xml:space="preserve">, the hybrid of </w:t>
      </w:r>
      <w:r w:rsidRPr="001D030B">
        <w:rPr>
          <w:i/>
          <w:szCs w:val="24"/>
        </w:rPr>
        <w:t>A. arborea</w:t>
      </w:r>
      <w:r w:rsidRPr="001D030B">
        <w:rPr>
          <w:szCs w:val="24"/>
        </w:rPr>
        <w:t xml:space="preserve"> and </w:t>
      </w:r>
      <w:r w:rsidRPr="001D030B">
        <w:rPr>
          <w:i/>
          <w:szCs w:val="24"/>
        </w:rPr>
        <w:t>A. laevis</w:t>
      </w:r>
      <w:r w:rsidRPr="001D030B">
        <w:rPr>
          <w:szCs w:val="24"/>
        </w:rPr>
        <w:t xml:space="preserve">.  Many individuals within </w:t>
      </w:r>
      <w:r w:rsidRPr="001D030B">
        <w:rPr>
          <w:i/>
          <w:szCs w:val="24"/>
        </w:rPr>
        <w:t>Amelanchier</w:t>
      </w:r>
      <w:r w:rsidRPr="001D030B">
        <w:rPr>
          <w:szCs w:val="24"/>
        </w:rPr>
        <w:t xml:space="preserve"> arise through hybridization and species boundaries are often not clear.   </w:t>
      </w:r>
    </w:p>
    <w:p w:rsidR="0053753A" w:rsidRPr="001D030B" w:rsidRDefault="0053753A" w:rsidP="0053753A">
      <w:pPr>
        <w:jc w:val="left"/>
        <w:rPr>
          <w:szCs w:val="24"/>
        </w:rPr>
      </w:pPr>
    </w:p>
    <w:p w:rsidR="0053753A" w:rsidRPr="001D030B" w:rsidRDefault="0053753A" w:rsidP="0053753A">
      <w:pPr>
        <w:pStyle w:val="Heading3"/>
        <w:ind w:left="0" w:right="0"/>
        <w:jc w:val="left"/>
        <w:rPr>
          <w:color w:val="auto"/>
          <w:sz w:val="24"/>
          <w:szCs w:val="24"/>
        </w:rPr>
      </w:pPr>
      <w:r w:rsidRPr="001D030B">
        <w:rPr>
          <w:color w:val="auto"/>
          <w:sz w:val="24"/>
          <w:szCs w:val="24"/>
        </w:rPr>
        <w:t>References</w:t>
      </w:r>
    </w:p>
    <w:p w:rsidR="0053753A" w:rsidRPr="001D030B" w:rsidRDefault="0053753A" w:rsidP="0053753A">
      <w:pPr>
        <w:jc w:val="left"/>
        <w:rPr>
          <w:szCs w:val="24"/>
        </w:rPr>
      </w:pPr>
      <w:r w:rsidRPr="001D030B">
        <w:rPr>
          <w:szCs w:val="24"/>
        </w:rPr>
        <w:t xml:space="preserve">Campbell, C.S., M.F. Wojciechowski, B.G. Baldwin, L.A. Alice, &amp; M.J. Donoghue 1997.  </w:t>
      </w:r>
      <w:r w:rsidRPr="001D030B">
        <w:rPr>
          <w:i/>
          <w:szCs w:val="24"/>
        </w:rPr>
        <w:t>Persistent nuclear ribosomal DNA sequence polymorphism in the Amelanchier agamic complex (Rosaceae)</w:t>
      </w:r>
      <w:r w:rsidRPr="001D030B">
        <w:rPr>
          <w:szCs w:val="24"/>
        </w:rPr>
        <w:t xml:space="preserve">.  Molecular Biol. Evol. 14:81-90.   </w:t>
      </w:r>
    </w:p>
    <w:p w:rsidR="0053753A" w:rsidRPr="001D030B" w:rsidRDefault="0053753A" w:rsidP="0053753A">
      <w:pPr>
        <w:jc w:val="left"/>
        <w:rPr>
          <w:szCs w:val="24"/>
        </w:rPr>
      </w:pPr>
    </w:p>
    <w:p w:rsidR="0053753A" w:rsidRPr="001D030B" w:rsidRDefault="0053753A" w:rsidP="0053753A">
      <w:pPr>
        <w:jc w:val="left"/>
        <w:rPr>
          <w:szCs w:val="24"/>
        </w:rPr>
      </w:pPr>
      <w:r w:rsidRPr="001D030B">
        <w:rPr>
          <w:szCs w:val="24"/>
        </w:rPr>
        <w:t xml:space="preserve">Campbell C.S., W.A. Wright, T.F. Vining, &amp; W.A. Halteman 1997.  </w:t>
      </w:r>
      <w:r w:rsidRPr="001D030B">
        <w:rPr>
          <w:i/>
          <w:szCs w:val="24"/>
        </w:rPr>
        <w:t>Morphological variation in sexual and agamospermous</w:t>
      </w:r>
      <w:r w:rsidRPr="001D030B">
        <w:rPr>
          <w:szCs w:val="24"/>
        </w:rPr>
        <w:t xml:space="preserve"> </w:t>
      </w:r>
      <w:r w:rsidRPr="001D030B">
        <w:rPr>
          <w:i/>
          <w:szCs w:val="24"/>
        </w:rPr>
        <w:t>Amelanchier</w:t>
      </w:r>
      <w:r w:rsidRPr="001D030B">
        <w:rPr>
          <w:szCs w:val="24"/>
        </w:rPr>
        <w:t xml:space="preserve"> (Rosaceae).  Canad. J. Bot. 75:1166-1173. </w:t>
      </w:r>
    </w:p>
    <w:p w:rsidR="0053753A" w:rsidRPr="001D030B" w:rsidRDefault="0053753A" w:rsidP="0053753A">
      <w:pPr>
        <w:jc w:val="left"/>
        <w:rPr>
          <w:szCs w:val="24"/>
        </w:rPr>
      </w:pPr>
    </w:p>
    <w:p w:rsidR="0053753A" w:rsidRPr="001D030B" w:rsidRDefault="0053753A" w:rsidP="0053753A">
      <w:pPr>
        <w:jc w:val="left"/>
        <w:rPr>
          <w:szCs w:val="24"/>
        </w:rPr>
      </w:pPr>
      <w:r w:rsidRPr="001D030B">
        <w:rPr>
          <w:szCs w:val="24"/>
        </w:rPr>
        <w:t xml:space="preserve">Campbell, C.S., C.W. Greene, &amp; S.E. Bergquist 1987.  </w:t>
      </w:r>
      <w:r w:rsidRPr="001D030B">
        <w:rPr>
          <w:i/>
          <w:szCs w:val="24"/>
        </w:rPr>
        <w:t>Apomixis and sexuality in three species of Amelanchier, shadbush (Rosaceae, Maloideae)</w:t>
      </w:r>
      <w:r w:rsidRPr="001D030B">
        <w:rPr>
          <w:szCs w:val="24"/>
        </w:rPr>
        <w:t xml:space="preserve">.  Amer. J. Bot. 74:321-328. </w:t>
      </w:r>
    </w:p>
    <w:p w:rsidR="0053753A" w:rsidRPr="001D030B" w:rsidRDefault="0053753A" w:rsidP="0053753A">
      <w:pPr>
        <w:jc w:val="left"/>
        <w:rPr>
          <w:szCs w:val="24"/>
        </w:rPr>
      </w:pPr>
    </w:p>
    <w:p w:rsidR="0053753A" w:rsidRPr="001D030B" w:rsidRDefault="0053753A" w:rsidP="0053753A">
      <w:pPr>
        <w:jc w:val="left"/>
        <w:rPr>
          <w:szCs w:val="24"/>
        </w:rPr>
      </w:pPr>
      <w:r w:rsidRPr="001D030B">
        <w:rPr>
          <w:szCs w:val="24"/>
        </w:rPr>
        <w:t xml:space="preserve">Campbell, C.S. &amp; W.A. Wright 1996.  </w:t>
      </w:r>
      <w:r w:rsidRPr="001D030B">
        <w:rPr>
          <w:i/>
          <w:szCs w:val="24"/>
        </w:rPr>
        <w:t>Apomixis, hybridization, and taxonomic complexity in eastern North American Amelanchier (Rosaceae)</w:t>
      </w:r>
      <w:r w:rsidRPr="001D030B">
        <w:rPr>
          <w:szCs w:val="24"/>
        </w:rPr>
        <w:t xml:space="preserve">.  Folia Geobot. Phytotax. 31:345-354.     </w:t>
      </w:r>
    </w:p>
    <w:p w:rsidR="0053753A" w:rsidRPr="001D030B" w:rsidRDefault="0053753A" w:rsidP="0053753A">
      <w:pPr>
        <w:jc w:val="left"/>
        <w:rPr>
          <w:szCs w:val="24"/>
        </w:rPr>
      </w:pPr>
    </w:p>
    <w:p w:rsidR="0053753A" w:rsidRPr="001D030B" w:rsidRDefault="0053753A" w:rsidP="0053753A">
      <w:pPr>
        <w:jc w:val="left"/>
        <w:rPr>
          <w:szCs w:val="24"/>
        </w:rPr>
      </w:pPr>
      <w:r w:rsidRPr="001D030B">
        <w:rPr>
          <w:szCs w:val="24"/>
        </w:rPr>
        <w:t xml:space="preserve">Dibble, A.C. 1995.  </w:t>
      </w:r>
      <w:r w:rsidRPr="001D030B">
        <w:rPr>
          <w:i/>
          <w:szCs w:val="24"/>
        </w:rPr>
        <w:t>Conservation biology of shadbush, Amelanchier (Rosaceae): Evidence from systematics, population structure and reproductive ecology (Amelanchier nantucketensis</w:t>
      </w:r>
      <w:r w:rsidRPr="001D030B">
        <w:rPr>
          <w:szCs w:val="24"/>
        </w:rPr>
        <w:t xml:space="preserve">, </w:t>
      </w:r>
      <w:r w:rsidRPr="001D030B">
        <w:rPr>
          <w:i/>
          <w:szCs w:val="24"/>
        </w:rPr>
        <w:t>Amelanchier</w:t>
      </w:r>
      <w:r w:rsidRPr="001D030B">
        <w:rPr>
          <w:szCs w:val="24"/>
        </w:rPr>
        <w:t xml:space="preserve"> </w:t>
      </w:r>
      <w:r w:rsidRPr="001D030B">
        <w:rPr>
          <w:i/>
          <w:szCs w:val="24"/>
        </w:rPr>
        <w:lastRenderedPageBreak/>
        <w:t>stolonifera</w:t>
      </w:r>
      <w:r w:rsidRPr="001D030B">
        <w:rPr>
          <w:szCs w:val="24"/>
        </w:rPr>
        <w:t xml:space="preserve">, </w:t>
      </w:r>
      <w:r w:rsidRPr="001D030B">
        <w:rPr>
          <w:i/>
          <w:szCs w:val="24"/>
        </w:rPr>
        <w:t>Amelanchier obovalis</w:t>
      </w:r>
      <w:r w:rsidRPr="001D030B">
        <w:rPr>
          <w:szCs w:val="24"/>
        </w:rPr>
        <w:t xml:space="preserve">, </w:t>
      </w:r>
      <w:r w:rsidRPr="001D030B">
        <w:rPr>
          <w:i/>
          <w:szCs w:val="24"/>
        </w:rPr>
        <w:t>Amelanchier lucida</w:t>
      </w:r>
      <w:r w:rsidRPr="001D030B">
        <w:rPr>
          <w:szCs w:val="24"/>
        </w:rPr>
        <w:t>).  Ph.D. diss., Univ. of Maine, Orono, Maine.</w:t>
      </w:r>
    </w:p>
    <w:p w:rsidR="0053753A" w:rsidRPr="001D030B" w:rsidRDefault="0053753A" w:rsidP="0053753A">
      <w:pPr>
        <w:jc w:val="left"/>
        <w:rPr>
          <w:szCs w:val="24"/>
        </w:rPr>
      </w:pPr>
    </w:p>
    <w:p w:rsidR="0053753A" w:rsidRPr="001D030B" w:rsidRDefault="0053753A" w:rsidP="0053753A">
      <w:pPr>
        <w:jc w:val="left"/>
        <w:rPr>
          <w:szCs w:val="24"/>
        </w:rPr>
      </w:pPr>
      <w:r w:rsidRPr="001D030B">
        <w:rPr>
          <w:szCs w:val="24"/>
        </w:rPr>
        <w:t xml:space="preserve">Harris, R.E. 1970.  </w:t>
      </w:r>
      <w:r w:rsidRPr="001D030B">
        <w:rPr>
          <w:i/>
          <w:szCs w:val="24"/>
        </w:rPr>
        <w:t>The genus Amelanchier</w:t>
      </w:r>
      <w:r w:rsidRPr="001D030B">
        <w:rPr>
          <w:szCs w:val="24"/>
        </w:rPr>
        <w:t xml:space="preserve">.  J. Roy. Hort. Soc. 95:116-118. </w:t>
      </w:r>
    </w:p>
    <w:p w:rsidR="0053753A" w:rsidRPr="001D030B" w:rsidRDefault="0053753A" w:rsidP="0053753A">
      <w:pPr>
        <w:jc w:val="left"/>
        <w:rPr>
          <w:szCs w:val="24"/>
        </w:rPr>
      </w:pPr>
    </w:p>
    <w:p w:rsidR="0053753A" w:rsidRPr="001D030B" w:rsidRDefault="0053753A" w:rsidP="0053753A">
      <w:pPr>
        <w:jc w:val="left"/>
        <w:rPr>
          <w:szCs w:val="24"/>
        </w:rPr>
      </w:pPr>
      <w:r w:rsidRPr="001D030B">
        <w:rPr>
          <w:szCs w:val="24"/>
        </w:rPr>
        <w:t xml:space="preserve">Iverson, R. 1981.  </w:t>
      </w:r>
      <w:r w:rsidRPr="001D030B">
        <w:rPr>
          <w:i/>
          <w:szCs w:val="24"/>
        </w:rPr>
        <w:t>Amelanchiers</w:t>
      </w:r>
      <w:r w:rsidRPr="001D030B">
        <w:rPr>
          <w:szCs w:val="24"/>
        </w:rPr>
        <w:t xml:space="preserve">.  Amer. Horticult. 60(10):26-27, 36-37. </w:t>
      </w:r>
    </w:p>
    <w:p w:rsidR="0053753A" w:rsidRPr="001D030B" w:rsidRDefault="0053753A" w:rsidP="0053753A">
      <w:pPr>
        <w:jc w:val="left"/>
        <w:rPr>
          <w:szCs w:val="24"/>
        </w:rPr>
      </w:pPr>
    </w:p>
    <w:p w:rsidR="0053753A" w:rsidRPr="001D030B" w:rsidRDefault="0053753A" w:rsidP="0053753A">
      <w:pPr>
        <w:jc w:val="left"/>
        <w:rPr>
          <w:szCs w:val="24"/>
        </w:rPr>
      </w:pPr>
      <w:r w:rsidRPr="001D030B">
        <w:rPr>
          <w:szCs w:val="24"/>
        </w:rPr>
        <w:t xml:space="preserve">Landry, P. 1976.  </w:t>
      </w:r>
      <w:r w:rsidRPr="001D030B">
        <w:rPr>
          <w:i/>
          <w:szCs w:val="24"/>
        </w:rPr>
        <w:t>Taxonomy and distribution of Amelanchier arborea (Michx. f.) Fern. in Quebec and through the Maritimes</w:t>
      </w:r>
      <w:r w:rsidRPr="001D030B">
        <w:rPr>
          <w:szCs w:val="24"/>
        </w:rPr>
        <w:t xml:space="preserve">.  Naturaliste Canad. 103:377-385.   </w:t>
      </w:r>
    </w:p>
    <w:p w:rsidR="0053753A" w:rsidRPr="001D030B" w:rsidRDefault="0053753A" w:rsidP="0053753A">
      <w:pPr>
        <w:jc w:val="left"/>
        <w:rPr>
          <w:szCs w:val="24"/>
        </w:rPr>
      </w:pPr>
    </w:p>
    <w:p w:rsidR="0053753A" w:rsidRPr="001D030B" w:rsidRDefault="0053753A" w:rsidP="0053753A">
      <w:pPr>
        <w:jc w:val="left"/>
        <w:rPr>
          <w:szCs w:val="24"/>
        </w:rPr>
      </w:pPr>
      <w:r w:rsidRPr="001D030B">
        <w:rPr>
          <w:szCs w:val="24"/>
        </w:rPr>
        <w:t xml:space="preserve">McDaniel, J.C. 1974.  </w:t>
      </w:r>
      <w:r w:rsidRPr="001D030B">
        <w:rPr>
          <w:i/>
          <w:szCs w:val="24"/>
        </w:rPr>
        <w:t>Nomenclature: perennial problem in Amelanchier arborea</w:t>
      </w:r>
      <w:r w:rsidRPr="001D030B">
        <w:rPr>
          <w:szCs w:val="24"/>
        </w:rPr>
        <w:t xml:space="preserve">.  Amer. Nurseryman 139(7):66-68.  </w:t>
      </w:r>
    </w:p>
    <w:p w:rsidR="0053753A" w:rsidRPr="001D030B" w:rsidRDefault="0053753A" w:rsidP="0053753A">
      <w:pPr>
        <w:jc w:val="left"/>
        <w:rPr>
          <w:szCs w:val="24"/>
        </w:rPr>
      </w:pPr>
    </w:p>
    <w:p w:rsidR="0053753A" w:rsidRPr="001D030B" w:rsidRDefault="0053753A" w:rsidP="0053753A">
      <w:pPr>
        <w:jc w:val="left"/>
        <w:rPr>
          <w:szCs w:val="24"/>
        </w:rPr>
      </w:pPr>
      <w:r w:rsidRPr="001D030B">
        <w:rPr>
          <w:szCs w:val="24"/>
        </w:rPr>
        <w:t xml:space="preserve">Overath, R.D. &amp; J.L. Hamrick 1998.  </w:t>
      </w:r>
      <w:r w:rsidRPr="001D030B">
        <w:rPr>
          <w:i/>
          <w:szCs w:val="24"/>
        </w:rPr>
        <w:t>Allozyme diversity in Amelanchier arborea and A. laevis (Rosaceae)</w:t>
      </w:r>
      <w:r w:rsidRPr="001D030B">
        <w:rPr>
          <w:szCs w:val="24"/>
        </w:rPr>
        <w:t>.  Rhodora 100:276-</w:t>
      </w:r>
      <w:bookmarkStart w:id="0" w:name="_GoBack"/>
      <w:r w:rsidRPr="001D030B">
        <w:rPr>
          <w:szCs w:val="24"/>
        </w:rPr>
        <w:t xml:space="preserve">292.  </w:t>
      </w:r>
    </w:p>
    <w:bookmarkEnd w:id="0"/>
    <w:p w:rsidR="0053753A" w:rsidRPr="001D030B" w:rsidRDefault="0053753A" w:rsidP="0053753A">
      <w:pPr>
        <w:jc w:val="left"/>
        <w:rPr>
          <w:szCs w:val="24"/>
        </w:rPr>
      </w:pPr>
    </w:p>
    <w:p w:rsidR="0053753A" w:rsidRPr="001D030B" w:rsidRDefault="0053753A" w:rsidP="0053753A">
      <w:pPr>
        <w:jc w:val="left"/>
        <w:rPr>
          <w:szCs w:val="24"/>
        </w:rPr>
      </w:pPr>
      <w:r w:rsidRPr="001D030B">
        <w:rPr>
          <w:szCs w:val="24"/>
        </w:rPr>
        <w:t xml:space="preserve">Snyder, S.A. 1992.  </w:t>
      </w:r>
      <w:r w:rsidRPr="001D030B">
        <w:rPr>
          <w:i/>
          <w:szCs w:val="24"/>
        </w:rPr>
        <w:t>Amelanchier arborea</w:t>
      </w:r>
      <w:r w:rsidRPr="001D030B">
        <w:rPr>
          <w:szCs w:val="24"/>
        </w:rPr>
        <w:t xml:space="preserve">.  IN: W.C. Fischer (compiler).  </w:t>
      </w:r>
      <w:r w:rsidRPr="001D030B">
        <w:rPr>
          <w:i/>
          <w:szCs w:val="24"/>
        </w:rPr>
        <w:t>The fire effects information system</w:t>
      </w:r>
      <w:r w:rsidRPr="001D030B">
        <w:rPr>
          <w:szCs w:val="24"/>
        </w:rPr>
        <w:t xml:space="preserve"> [Database].  USDA, Forest Service, Intermountain Research Station, Intermountain Fire Sciences Laboratory, Missoula, Montana.  &lt;http://www.fs.fed.us/database/feis/&gt;</w:t>
      </w:r>
    </w:p>
    <w:p w:rsidR="0053753A" w:rsidRPr="001D030B" w:rsidRDefault="0053753A" w:rsidP="0053753A">
      <w:pPr>
        <w:jc w:val="left"/>
        <w:rPr>
          <w:szCs w:val="24"/>
        </w:rPr>
      </w:pPr>
    </w:p>
    <w:p w:rsidR="0053753A" w:rsidRPr="001D030B" w:rsidRDefault="0053753A" w:rsidP="0053753A">
      <w:pPr>
        <w:jc w:val="left"/>
        <w:rPr>
          <w:szCs w:val="24"/>
        </w:rPr>
      </w:pPr>
      <w:r w:rsidRPr="001D030B">
        <w:rPr>
          <w:szCs w:val="24"/>
        </w:rPr>
        <w:t xml:space="preserve">Robinson, W.A. 1986.  </w:t>
      </w:r>
      <w:r w:rsidRPr="001D030B">
        <w:rPr>
          <w:i/>
          <w:szCs w:val="24"/>
        </w:rPr>
        <w:t>Effect of fruit ingestion on Amelanchier seed germination</w:t>
      </w:r>
      <w:r w:rsidRPr="001D030B">
        <w:rPr>
          <w:szCs w:val="24"/>
        </w:rPr>
        <w:t xml:space="preserve">.  Bull. Torrey Bot. Club 113:131-134.  </w:t>
      </w:r>
    </w:p>
    <w:p w:rsidR="0053753A" w:rsidRPr="001D030B" w:rsidRDefault="0053753A" w:rsidP="0053753A">
      <w:pPr>
        <w:jc w:val="left"/>
        <w:rPr>
          <w:szCs w:val="24"/>
        </w:rPr>
      </w:pPr>
    </w:p>
    <w:p w:rsidR="0053753A" w:rsidRPr="001D030B" w:rsidRDefault="0053753A" w:rsidP="0053753A">
      <w:pPr>
        <w:jc w:val="left"/>
        <w:rPr>
          <w:szCs w:val="24"/>
        </w:rPr>
      </w:pPr>
      <w:r w:rsidRPr="001D030B">
        <w:rPr>
          <w:szCs w:val="24"/>
        </w:rPr>
        <w:t xml:space="preserve">Weaver, R.E. 1974.  </w:t>
      </w:r>
      <w:r w:rsidRPr="001D030B">
        <w:rPr>
          <w:i/>
          <w:szCs w:val="24"/>
        </w:rPr>
        <w:t>The shadbushes</w:t>
      </w:r>
      <w:r w:rsidRPr="001D030B">
        <w:rPr>
          <w:szCs w:val="24"/>
        </w:rPr>
        <w:t xml:space="preserve">.  Arnoldia (Jamaica Plain) 34:22-31. </w:t>
      </w:r>
    </w:p>
    <w:p w:rsidR="0053753A" w:rsidRPr="001D030B" w:rsidRDefault="0053753A" w:rsidP="0053753A">
      <w:pPr>
        <w:jc w:val="left"/>
        <w:rPr>
          <w:szCs w:val="24"/>
        </w:rPr>
      </w:pPr>
    </w:p>
    <w:p w:rsidR="0053753A" w:rsidRPr="001D030B" w:rsidRDefault="0053753A" w:rsidP="0053753A">
      <w:pPr>
        <w:pStyle w:val="Heading3"/>
        <w:ind w:left="0" w:right="0"/>
        <w:jc w:val="left"/>
        <w:rPr>
          <w:color w:val="auto"/>
          <w:sz w:val="24"/>
          <w:szCs w:val="24"/>
        </w:rPr>
      </w:pPr>
      <w:r w:rsidRPr="001D030B">
        <w:rPr>
          <w:color w:val="auto"/>
          <w:sz w:val="24"/>
          <w:szCs w:val="24"/>
        </w:rPr>
        <w:t>Prepared By</w:t>
      </w:r>
    </w:p>
    <w:p w:rsidR="0053753A" w:rsidRPr="001D030B" w:rsidRDefault="0053753A" w:rsidP="0053753A">
      <w:pPr>
        <w:jc w:val="left"/>
        <w:rPr>
          <w:szCs w:val="24"/>
        </w:rPr>
      </w:pPr>
      <w:r w:rsidRPr="001D030B">
        <w:rPr>
          <w:i/>
          <w:szCs w:val="24"/>
        </w:rPr>
        <w:t>Guy Nesom</w:t>
      </w:r>
    </w:p>
    <w:p w:rsidR="0053753A" w:rsidRPr="001D030B" w:rsidRDefault="0053753A" w:rsidP="0053753A">
      <w:pPr>
        <w:pStyle w:val="PlainText"/>
        <w:rPr>
          <w:rFonts w:ascii="Times New Roman" w:hAnsi="Times New Roman"/>
          <w:sz w:val="24"/>
          <w:szCs w:val="24"/>
        </w:rPr>
      </w:pPr>
      <w:r w:rsidRPr="001D030B">
        <w:rPr>
          <w:rFonts w:ascii="Times New Roman" w:hAnsi="Times New Roman"/>
          <w:sz w:val="24"/>
          <w:szCs w:val="24"/>
        </w:rPr>
        <w:t>Formerly BONAP, North Carolina Botanical Garden, University of North Carolina, Chapel Hill, North Carolina</w:t>
      </w:r>
    </w:p>
    <w:p w:rsidR="0053753A" w:rsidRPr="001D030B" w:rsidRDefault="0053753A" w:rsidP="0053753A">
      <w:pPr>
        <w:jc w:val="left"/>
        <w:rPr>
          <w:szCs w:val="24"/>
        </w:rPr>
      </w:pPr>
    </w:p>
    <w:p w:rsidR="0053753A" w:rsidRPr="001D030B" w:rsidRDefault="0053753A" w:rsidP="0053753A">
      <w:pPr>
        <w:pStyle w:val="Heading3"/>
        <w:ind w:left="0" w:right="0"/>
        <w:jc w:val="left"/>
        <w:rPr>
          <w:color w:val="auto"/>
          <w:sz w:val="24"/>
          <w:szCs w:val="24"/>
        </w:rPr>
      </w:pPr>
      <w:r w:rsidRPr="001D030B">
        <w:rPr>
          <w:color w:val="auto"/>
          <w:sz w:val="24"/>
          <w:szCs w:val="24"/>
        </w:rPr>
        <w:lastRenderedPageBreak/>
        <w:t>Species Coordinator</w:t>
      </w:r>
    </w:p>
    <w:p w:rsidR="0053753A" w:rsidRPr="001D030B" w:rsidRDefault="0053753A" w:rsidP="0053753A">
      <w:pPr>
        <w:pStyle w:val="Heading2"/>
        <w:jc w:val="left"/>
        <w:rPr>
          <w:b w:val="0"/>
          <w:i/>
          <w:color w:val="auto"/>
          <w:sz w:val="24"/>
          <w:szCs w:val="24"/>
        </w:rPr>
      </w:pPr>
      <w:r w:rsidRPr="001D030B">
        <w:rPr>
          <w:b w:val="0"/>
          <w:i/>
          <w:color w:val="auto"/>
          <w:sz w:val="24"/>
          <w:szCs w:val="24"/>
        </w:rPr>
        <w:t>Lincoln Moore</w:t>
      </w:r>
    </w:p>
    <w:p w:rsidR="0053753A" w:rsidRPr="001D030B" w:rsidRDefault="0053753A" w:rsidP="0053753A">
      <w:pPr>
        <w:jc w:val="left"/>
        <w:rPr>
          <w:szCs w:val="24"/>
        </w:rPr>
      </w:pPr>
      <w:r w:rsidRPr="001D030B">
        <w:rPr>
          <w:szCs w:val="24"/>
        </w:rPr>
        <w:t>USDA, NRCS, National Plant Data Center, Baton Rouge, Louisiana</w:t>
      </w:r>
    </w:p>
    <w:p w:rsidR="0053753A" w:rsidRPr="001D030B" w:rsidRDefault="0053753A" w:rsidP="0053753A">
      <w:pPr>
        <w:rPr>
          <w:szCs w:val="24"/>
        </w:rPr>
      </w:pPr>
    </w:p>
    <w:p w:rsidR="0053753A" w:rsidRPr="001D030B" w:rsidRDefault="0053753A" w:rsidP="0053753A">
      <w:pPr>
        <w:jc w:val="left"/>
        <w:rPr>
          <w:szCs w:val="24"/>
        </w:rPr>
      </w:pPr>
      <w:r w:rsidRPr="001D030B">
        <w:rPr>
          <w:szCs w:val="24"/>
        </w:rPr>
        <w:t>Edited: 17jan01 jsp;07feb03ahv; 30may06jsp</w:t>
      </w:r>
    </w:p>
    <w:p w:rsidR="00CD49CC" w:rsidRPr="001D030B" w:rsidRDefault="00CD49CC" w:rsidP="00BE5356">
      <w:pPr>
        <w:pStyle w:val="Footer1Italic"/>
        <w:rPr>
          <w:sz w:val="24"/>
          <w:szCs w:val="24"/>
        </w:rPr>
      </w:pPr>
    </w:p>
    <w:p w:rsidR="00F72ADF" w:rsidRPr="001D030B" w:rsidRDefault="00F72ADF" w:rsidP="00F72ADF">
      <w:pPr>
        <w:pStyle w:val="BodyText"/>
        <w:jc w:val="left"/>
        <w:rPr>
          <w:rStyle w:val="Footer1Char"/>
          <w:color w:val="auto"/>
          <w:sz w:val="24"/>
          <w:szCs w:val="24"/>
        </w:rPr>
      </w:pPr>
      <w:r w:rsidRPr="001D030B">
        <w:rPr>
          <w:rStyle w:val="Footer1Char"/>
          <w:color w:val="auto"/>
          <w:sz w:val="24"/>
          <w:szCs w:val="24"/>
        </w:rPr>
        <w:t>For more information about this and other plants, please contact your local NRCS field office or Conservation District, and visit the PLANTS Web site&lt;</w:t>
      </w:r>
      <w:hyperlink r:id="rId11" w:history="1">
        <w:r w:rsidRPr="001D030B">
          <w:rPr>
            <w:rStyle w:val="Hyperlink"/>
            <w:color w:val="auto"/>
            <w:sz w:val="24"/>
            <w:szCs w:val="24"/>
          </w:rPr>
          <w:t>http://plants.usda.gov</w:t>
        </w:r>
      </w:hyperlink>
      <w:r w:rsidRPr="001D030B">
        <w:rPr>
          <w:rStyle w:val="Footer1Char"/>
          <w:color w:val="auto"/>
          <w:sz w:val="24"/>
          <w:szCs w:val="24"/>
        </w:rPr>
        <w:t>&gt; or the Plant Materials Program Web site &lt;</w:t>
      </w:r>
      <w:hyperlink r:id="rId12" w:history="1">
        <w:r w:rsidRPr="001D030B">
          <w:rPr>
            <w:rStyle w:val="Hyperlink"/>
            <w:color w:val="auto"/>
            <w:sz w:val="24"/>
            <w:szCs w:val="24"/>
          </w:rPr>
          <w:t>http://Plant-Materials.nrcs.usda.gov</w:t>
        </w:r>
      </w:hyperlink>
      <w:r w:rsidRPr="001D030B">
        <w:rPr>
          <w:rStyle w:val="Footer1Char"/>
          <w:color w:val="auto"/>
          <w:sz w:val="24"/>
          <w:szCs w:val="24"/>
        </w:rPr>
        <w:t>&gt;</w:t>
      </w:r>
    </w:p>
    <w:p w:rsidR="00F72ADF" w:rsidRPr="001D030B" w:rsidRDefault="00F72ADF" w:rsidP="00F72ADF">
      <w:pPr>
        <w:pStyle w:val="Footer"/>
        <w:rPr>
          <w:rStyle w:val="PageNumber"/>
          <w:szCs w:val="24"/>
        </w:rPr>
      </w:pPr>
    </w:p>
    <w:p w:rsidR="00DD41E3" w:rsidRPr="001D030B" w:rsidRDefault="00DD41E3" w:rsidP="00DD41E3">
      <w:pPr>
        <w:pStyle w:val="NormalWeb"/>
        <w:rPr>
          <w:rFonts w:ascii="Times New Roman" w:hAnsi="Times New Roman"/>
          <w:i/>
          <w:color w:val="0000FF"/>
          <w:sz w:val="24"/>
          <w:szCs w:val="24"/>
        </w:rPr>
      </w:pPr>
      <w:r w:rsidRPr="001D030B">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1D030B">
          <w:rPr>
            <w:rStyle w:val="Hyperlink"/>
            <w:rFonts w:ascii="Times New Roman" w:hAnsi="Times New Roman"/>
            <w:i/>
            <w:sz w:val="24"/>
            <w:szCs w:val="24"/>
          </w:rPr>
          <w:t>TARGET Center</w:t>
        </w:r>
      </w:hyperlink>
      <w:r w:rsidRPr="001D030B">
        <w:rPr>
          <w:rFonts w:ascii="Times New Roman" w:hAnsi="Times New Roman"/>
          <w:i/>
          <w:color w:val="0000FF"/>
          <w:sz w:val="24"/>
          <w:szCs w:val="24"/>
        </w:rPr>
        <w:t xml:space="preserve"> at 202-720-2600 (voice and TDD).</w:t>
      </w:r>
    </w:p>
    <w:p w:rsidR="00DD41E3" w:rsidRPr="001D030B" w:rsidRDefault="00DD41E3" w:rsidP="00DD41E3">
      <w:pPr>
        <w:pStyle w:val="NormalWeb"/>
        <w:rPr>
          <w:rFonts w:ascii="Times New Roman" w:hAnsi="Times New Roman"/>
          <w:i/>
          <w:color w:val="0000FF"/>
          <w:sz w:val="24"/>
          <w:szCs w:val="24"/>
        </w:rPr>
      </w:pPr>
      <w:r w:rsidRPr="001D030B">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1D030B" w:rsidRDefault="00DD41E3" w:rsidP="00DD41E3">
      <w:pPr>
        <w:pStyle w:val="NormalWeb"/>
        <w:rPr>
          <w:rFonts w:ascii="Times New Roman" w:hAnsi="Times New Roman"/>
          <w:i/>
          <w:color w:val="0000FF"/>
          <w:sz w:val="24"/>
          <w:szCs w:val="24"/>
        </w:rPr>
      </w:pPr>
      <w:r w:rsidRPr="001D030B">
        <w:rPr>
          <w:rFonts w:ascii="Times New Roman" w:hAnsi="Times New Roman"/>
          <w:i/>
          <w:color w:val="0000FF"/>
          <w:sz w:val="24"/>
          <w:szCs w:val="24"/>
        </w:rPr>
        <w:t xml:space="preserve">Read about </w:t>
      </w:r>
      <w:hyperlink r:id="rId14" w:tgtFrame="_blank" w:tooltip="PLANTS is not responsible for the content or availability of other Web sites." w:history="1">
        <w:r w:rsidRPr="001D030B">
          <w:rPr>
            <w:rStyle w:val="Hyperlink"/>
            <w:rFonts w:ascii="Times New Roman" w:hAnsi="Times New Roman"/>
            <w:i/>
            <w:sz w:val="24"/>
            <w:szCs w:val="24"/>
          </w:rPr>
          <w:t>Civil Rights at the Natural Resources Convervation Service</w:t>
        </w:r>
      </w:hyperlink>
      <w:r w:rsidRPr="001D030B">
        <w:rPr>
          <w:rFonts w:ascii="Times New Roman" w:hAnsi="Times New Roman"/>
          <w:i/>
          <w:color w:val="0000FF"/>
          <w:sz w:val="24"/>
          <w:szCs w:val="24"/>
        </w:rPr>
        <w:t xml:space="preserve">. </w:t>
      </w:r>
    </w:p>
    <w:p w:rsidR="0061608E" w:rsidRPr="001D030B" w:rsidRDefault="0061608E" w:rsidP="0061608E">
      <w:pPr>
        <w:pStyle w:val="Footer"/>
        <w:jc w:val="left"/>
        <w:rPr>
          <w:szCs w:val="24"/>
        </w:rPr>
      </w:pPr>
    </w:p>
    <w:sectPr w:rsidR="0061608E" w:rsidRPr="001D030B">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DFC" w:rsidRDefault="00582DFC">
      <w:r>
        <w:separator/>
      </w:r>
    </w:p>
  </w:endnote>
  <w:endnote w:type="continuationSeparator" w:id="0">
    <w:p w:rsidR="00582DFC" w:rsidRDefault="0058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DFC" w:rsidRDefault="00582DFC">
      <w:r>
        <w:separator/>
      </w:r>
    </w:p>
  </w:footnote>
  <w:footnote w:type="continuationSeparator" w:id="0">
    <w:p w:rsidR="00582DFC" w:rsidRDefault="00582D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1D030B"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0616A3">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578C2"/>
    <w:rsid w:val="000607FF"/>
    <w:rsid w:val="000616A3"/>
    <w:rsid w:val="000867C9"/>
    <w:rsid w:val="000A1774"/>
    <w:rsid w:val="000C6F1C"/>
    <w:rsid w:val="000F1970"/>
    <w:rsid w:val="00134B3C"/>
    <w:rsid w:val="001478F1"/>
    <w:rsid w:val="00156143"/>
    <w:rsid w:val="001B6C75"/>
    <w:rsid w:val="001C4209"/>
    <w:rsid w:val="001D030B"/>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3753A"/>
    <w:rsid w:val="00582DFC"/>
    <w:rsid w:val="00592CFA"/>
    <w:rsid w:val="005A2740"/>
    <w:rsid w:val="005F57D8"/>
    <w:rsid w:val="0061608E"/>
    <w:rsid w:val="006333FE"/>
    <w:rsid w:val="006B4B3E"/>
    <w:rsid w:val="00712AC4"/>
    <w:rsid w:val="007A3680"/>
    <w:rsid w:val="007F3743"/>
    <w:rsid w:val="0089154B"/>
    <w:rsid w:val="008B3C33"/>
    <w:rsid w:val="008E6018"/>
    <w:rsid w:val="008F3D5A"/>
    <w:rsid w:val="009050EF"/>
    <w:rsid w:val="009070C7"/>
    <w:rsid w:val="00982214"/>
    <w:rsid w:val="00993F76"/>
    <w:rsid w:val="00A06FE6"/>
    <w:rsid w:val="00A12175"/>
    <w:rsid w:val="00A8423D"/>
    <w:rsid w:val="00AC71B6"/>
    <w:rsid w:val="00AD30BE"/>
    <w:rsid w:val="00B22665"/>
    <w:rsid w:val="00B630BC"/>
    <w:rsid w:val="00B755F2"/>
    <w:rsid w:val="00B841F9"/>
    <w:rsid w:val="00B8425D"/>
    <w:rsid w:val="00BC24FE"/>
    <w:rsid w:val="00BD260A"/>
    <w:rsid w:val="00BD616F"/>
    <w:rsid w:val="00BE5356"/>
    <w:rsid w:val="00BF44A8"/>
    <w:rsid w:val="00C71B7B"/>
    <w:rsid w:val="00C81773"/>
    <w:rsid w:val="00CD17F8"/>
    <w:rsid w:val="00CD49CC"/>
    <w:rsid w:val="00CF06F8"/>
    <w:rsid w:val="00CF7EC1"/>
    <w:rsid w:val="00D62818"/>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PlainText">
    <w:name w:val="Plain Text"/>
    <w:basedOn w:val="Normal"/>
    <w:rsid w:val="0053753A"/>
    <w:pPr>
      <w:jc w:val="left"/>
    </w:pPr>
    <w:rPr>
      <w:rFonts w:ascii="Courier New" w:hAnsi="Courier New"/>
      <w:sz w:val="20"/>
    </w:rPr>
  </w:style>
  <w:style w:type="paragraph" w:styleId="BalloonText">
    <w:name w:val="Balloon Text"/>
    <w:basedOn w:val="Normal"/>
    <w:link w:val="BalloonTextChar"/>
    <w:rsid w:val="001D030B"/>
    <w:rPr>
      <w:rFonts w:ascii="Tahoma" w:hAnsi="Tahoma" w:cs="Tahoma"/>
      <w:sz w:val="16"/>
      <w:szCs w:val="16"/>
    </w:rPr>
  </w:style>
  <w:style w:type="character" w:customStyle="1" w:styleId="BalloonTextChar">
    <w:name w:val="Balloon Text Char"/>
    <w:basedOn w:val="DefaultParagraphFont"/>
    <w:link w:val="BalloonText"/>
    <w:rsid w:val="001D03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PlainText">
    <w:name w:val="Plain Text"/>
    <w:basedOn w:val="Normal"/>
    <w:rsid w:val="0053753A"/>
    <w:pPr>
      <w:jc w:val="left"/>
    </w:pPr>
    <w:rPr>
      <w:rFonts w:ascii="Courier New" w:hAnsi="Courier New"/>
      <w:sz w:val="20"/>
    </w:rPr>
  </w:style>
  <w:style w:type="paragraph" w:styleId="BalloonText">
    <w:name w:val="Balloon Text"/>
    <w:basedOn w:val="Normal"/>
    <w:link w:val="BalloonTextChar"/>
    <w:rsid w:val="001D030B"/>
    <w:rPr>
      <w:rFonts w:ascii="Tahoma" w:hAnsi="Tahoma" w:cs="Tahoma"/>
      <w:sz w:val="16"/>
      <w:szCs w:val="16"/>
    </w:rPr>
  </w:style>
  <w:style w:type="character" w:customStyle="1" w:styleId="BalloonTextChar">
    <w:name w:val="Balloon Text Char"/>
    <w:basedOn w:val="DefaultParagraphFont"/>
    <w:link w:val="BalloonText"/>
    <w:rsid w:val="001D03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DOWNY SERVICEBERRY</vt:lpstr>
    </vt:vector>
  </TitlesOfParts>
  <Company>USDA NRCS National Plant Data Center</Company>
  <LinksUpToDate>false</LinksUpToDate>
  <CharactersWithSpaces>8402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DOWNY SERVICEBERRY</dc:title>
  <dc:subject>Amelanchier arborea (Michx. f.) Fern.</dc:subject>
  <dc:creator>William Farrell</dc:creator>
  <cp:lastModifiedBy>JoshAngie</cp:lastModifiedBy>
  <cp:revision>2</cp:revision>
  <cp:lastPrinted>2003-06-09T21:39:00Z</cp:lastPrinted>
  <dcterms:created xsi:type="dcterms:W3CDTF">2013-01-05T06:40:00Z</dcterms:created>
  <dcterms:modified xsi:type="dcterms:W3CDTF">2013-01-05T06:40:00Z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