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CS12 - Mixed Reality for Multi-Domain Operations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NAME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Brenden Smith, Joshua Shequin, Johnathan Webb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Agreed upon metrics for the following categories: 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(1)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Work Completion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acceptance tests are completed.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completed work must be in Github, either in master, or in a branch.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Research is completed when all questions are answered or are identified as lacking enough research material.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Work Quality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follows coding standards and requirements.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is completed on time.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(3)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Meeting Attendance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members should attend meetings unless the team is notified of an upcoming absence.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Members should give about 2-3 days notice if they are unable to make meetings.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(4)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Meeting Preparation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(what each member is responsible for doing prior to meeting)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all required systems up and visible if required.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any presentations required for meetings completed and ready to present.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Dealing with Conflict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emailing TA’s or faculty about issues, team members should be CC in the email.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an issue arises between two members talk about it with the whole team so that the issues are known and have higher odds of being resolved.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