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Foundations</w:t>
      </w:r>
    </w:p>
    <w:p>
      <w:pPr>
        <w:pStyle w:val="Heading4"/>
      </w:pPr>
      <w:r>
        <w:t xml:space="preserve">Joshua W. Kelly</w:t>
      </w:r>
    </w:p>
    <w:p>
      <w:r>
        <w:t xml:space="preserve">This section maps the skills and background knowledge that build on one another while
learning Lean 4 </w:t>
      </w:r>
      <w:r>
        <w:t xml:space="preserve">(</w:t>
      </w:r>
      <w:r>
        <w:t xml:space="preserve">Moura &amp; Ullrich, 2021</w:t>
      </w:r>
      <w:r>
        <w:t xml:space="preserve">)</w:t>
      </w:r>
      <w:r>
        <w:t xml:space="preserve"> and the mathematics it is used to formalize. It is a
roadmap rather than a chapter of exercises: the two tracks — </w:t>
      </w:r>
      <w:r>
        <w:rPr>
          <w:i/>
          <w:iCs/>
        </w:rPr>
        <w:t xml:space="preserve">mathematics</w:t>
      </w:r>
      <w:r>
        <w:t xml:space="preserve"> and </w:t>
      </w:r>
      <w:r>
        <w:rPr>
          <w:i/>
          <w:iCs/>
        </w:rPr>
        <w:t xml:space="preserve">Lean 4</w:t>
      </w:r>
      <w:r>
        <w:t xml:space="preserve"> —
develop in parallel and meet where proofs get formalized against Mathlib </w:t>
      </w:r>
      <w:r>
        <w:t xml:space="preserve">(</w:t>
      </w:r>
      <w:r>
        <w:t xml:space="preserve">The mathlib Community, 2020</w:t>
      </w:r>
      <w:r>
        <w:t xml:space="preserve">)</w:t>
      </w:r>
      <w:r>
        <w:t xml:space="preserve">.</w:t>
      </w:r>
    </w:p>
    <w:p>
      <w:pPr>
        <w:pStyle w:val="Heading2"/>
      </w:pPr>
      <w:r>
        <w:t xml:space="preserve">Knowledge graph</w:t>
      </w:r>
    </w:p>
    <w:p>
      <w:r>
        <w:t xml:space="preserve">The graph below shows prerequisite relationships (an arrow </w:t>
      </w:r>
      <w:r>
        <w:rPr>
          <w:color w:val="000000"/>
          <w:rFonts w:ascii="Monospace" w:cs="Monospace" w:eastAsia="Monospace" w:hAnsi="Monospace"/>
          <w:shd w:fill="D2D3D2" w:color="D2D3D2" w:val="solid"/>
        </w:rPr>
        <w:t xml:space="preserve">A --&gt; B</w:t>
      </w:r>
      <w:r>
        <w:t xml:space="preserve"> reads “A supports B”).
Read it bottom-up from the two entry points — propositional logic on the mathematics side and
basic syntax on the Lean side — toward formalized mathematics, where the tracks converge.</w:t>
      </w:r>
    </w:p>
    <w:p>
      <w:pPr>
        <w:pStyle w:val="Heading2"/>
      </w:pPr>
      <w:r>
        <w:t xml:space="preserve">How to read the two tracks</w:t>
      </w:r>
    </w:p>
    <w:p>
      <w:r>
        <w:rPr>
          <w:b/>
          <w:bCs/>
        </w:rPr>
        <w:t xml:space="preserve">Mathematics.</w:t>
      </w:r>
      <w:r>
        <w:t xml:space="preserve"> Propositional and predicate logic together with basic proof techniques
(direct proof, contradiction, induction) are the bedrock. Set-theoretic language — functions,
relations, and cardinality — makes those proofs precise. From there, abstract algebra provides
the structures (groups, rings, fields) that linear algebra and analysis specialize.</w:t>
      </w:r>
    </w:p>
    <w:p>
      <w:r>
        <w:rPr>
          <w:b/>
          <w:bCs/>
        </w:rPr>
        <w:t xml:space="preserve">Lean 4.</w:t>
      </w:r>
      <w:r>
        <w:t xml:space="preserve"> The language side starts with syntax and the term/type distinction, then the
</w:t>
      </w:r>
      <w:r>
        <w:rPr>
          <w:i/>
          <w:iCs/>
        </w:rPr>
        <w:t xml:space="preserve">propositions-as-types</w:t>
      </w:r>
      <w:r>
        <w:t xml:space="preserve"> correspondence, which is where logic on the mathematics side connects:
a proof of </w:t>
      </w:r>
      <w:r>
        <w:rPr>
          <w:color w:val="000000"/>
          <w:rFonts w:ascii="Monospace" w:cs="Monospace" w:eastAsia="Monospace" w:hAnsi="Monospace"/>
          <w:shd w:fill="D2D3D2" w:color="D2D3D2" w:val="solid"/>
        </w:rPr>
        <w:t xml:space="preserve">P</w:t>
      </w:r>
      <w:r>
        <w:t xml:space="preserve"> is a term of type </w:t>
      </w:r>
      <w:r>
        <w:rPr>
          <w:color w:val="000000"/>
          <w:rFonts w:ascii="Monospace" w:cs="Monospace" w:eastAsia="Monospace" w:hAnsi="Monospace"/>
          <w:shd w:fill="D2D3D2" w:color="D2D3D2" w:val="solid"/>
        </w:rPr>
        <w:t xml:space="preserve">P</w:t>
      </w:r>
      <w:r>
        <w:t xml:space="preserve">. Tactics automate the construction of those terms, and
natural deduction is the first substantial place both tracks are exercised together.</w:t>
      </w:r>
    </w:p>
    <w:p>
      <w:r>
        <w:rPr>
          <w:b/>
          <w:bCs/>
        </w:rPr>
        <w:t xml:space="preserve">Convergence.</w:t>
      </w:r>
      <w:r>
        <w:t xml:space="preserve"> Both tracks meet at Mathlib, Lean’s community library, where formalizing real
mathematics requires fluency in the mathematical structure </w:t>
      </w:r>
      <w:r>
        <w:rPr>
          <w:i/>
          <w:iCs/>
        </w:rPr>
        <w:t xml:space="preserve">and</w:t>
      </w:r>
      <w:r>
        <w:t xml:space="preserve"> in the Lean idioms that encode
it. That convergence — formalized mathematics — is the goal the rest of this book works toward.</w:t>
      </w:r>
    </w:p>
    <w:p>
      <w:pPr>
        <w:pStyle w:val="Heading2"/>
      </w:pPr>
      <w:r>
        <w:t xml:space="preserve">References</w:t>
      </w:r>
    </w:p>
    <w:p>
      <w:r>
        <w:t xml:space="preserve">de Moura, L., &amp; Ullrich, S. (2021). The Lean 4 Theorem Prover and Programming Language. </w:t>
      </w:r>
      <w:r>
        <w:rPr>
          <w:i/>
          <w:iCs/>
        </w:rPr>
        <w:t xml:space="preserve">Automated Deduction – CADE 28</w:t>
      </w:r>
      <w:r>
        <w:t xml:space="preserve">, </w:t>
      </w:r>
      <w:r>
        <w:rPr>
          <w:i/>
          <w:iCs/>
        </w:rPr>
        <w:t xml:space="preserve">12699</w:t>
      </w:r>
      <w:r>
        <w:t xml:space="preserve">, 625–635. </w:t>
      </w:r>
      <w:hyperlink w:history="1" r:id="rIdibiapuglu3soortbpu4ww">
        <w:r>
          <w:rPr>
            <w:rStyle w:val="Hyperlink"/>
          </w:rPr>
          <w:t xml:space="preserve">10.1007/978-3-030-79876-5_37</w:t>
        </w:r>
      </w:hyperlink>
    </w:p>
    <w:p>
      <w:r>
        <w:t xml:space="preserve">The mathlib Community. (2020). The Lean Mathematical Library. </w:t>
      </w:r>
      <w:r>
        <w:rPr>
          <w:i/>
          <w:iCs/>
        </w:rPr>
        <w:t xml:space="preserve">Proceedings of the 9th ACM SIGPLAN International Conference on Certified Programs and Proofs (CPP 2020)</w:t>
      </w:r>
      <w:r>
        <w:t xml:space="preserve">, 367–381. </w:t>
      </w:r>
      <w:hyperlink w:history="1" r:id="rIdxgs--n0bljgr7yqjoqi-x">
        <w:r>
          <w:rPr>
            <w:rStyle w:val="Hyperlink"/>
          </w:rPr>
          <w:t xml:space="preserve">10.1145/3372885.3373824</w:t>
        </w:r>
      </w:hyperlink>
    </w:p>
    <w:sectPr>
      <w:footerReference w:type="default" r:id="rId6"/>
      <w:type w:val="continuous"/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Created with </w:t>
    </w:r>
    <w:r>
      <w:drawing>
        <wp:inline distT="0" distB="0" distL="0" distR="0">
          <wp:extent cx="608542" cy="105833"/>
          <wp:effectExtent b="0" l="0" r="0" t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542" cy="1058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A94"/>
    <w:pPr>
      <w:spacing w:before="240" w:after="240"/>
      <w:jc w:val="both"/>
    </w:pPr>
  </w:style>
  <w:style w:type="paragraph" w:styleId="Heading1">
    <w:name w:val="heading 1"/>
    <w:uiPriority w:val="9"/>
    <w:qFormat/>
    <w:rsid w:val="0080420D"/>
    <w:pPr>
      <w:spacing w:line="360" w:lineRule="auto"/>
      <w:outlineLvl w:val="0"/>
    </w:pPr>
    <w:rPr>
      <w:rFonts w:asciiTheme="minorHAnsi" w:hAnsiTheme="minorHAnsi"/>
      <w:color w:val="000000" w:themeColor="text1"/>
      <w:sz w:val="32"/>
      <w:szCs w:val="32"/>
    </w:rPr>
  </w:style>
  <w:style w:type="paragraph" w:styleId="Heading2">
    <w:name w:val="heading 2"/>
    <w:uiPriority w:val="9"/>
    <w:unhideWhenUsed/>
    <w:qFormat/>
    <w:rsid w:val="00427A94"/>
    <w:pPr>
      <w:outlineLvl w:val="1"/>
    </w:pPr>
    <w:rPr>
      <w:rFonts w:asciiTheme="minorHAnsi" w:hAnsiTheme="minorHAnsi"/>
      <w:color w:val="2E74B5"/>
      <w:sz w:val="26"/>
      <w:szCs w:val="26"/>
    </w:rPr>
  </w:style>
  <w:style w:type="paragraph" w:styleId="Heading3">
    <w:name w:val="heading 3"/>
    <w:uiPriority w:val="9"/>
    <w:unhideWhenUsed/>
    <w:qFormat/>
    <w:rsid w:val="00427A94"/>
    <w:pPr>
      <w:outlineLvl w:val="2"/>
    </w:pPr>
    <w:rPr>
      <w:rFonts w:asciiTheme="minorHAnsi" w:hAnsiTheme="minorHAnsi"/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1B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B02"/>
  </w:style>
  <w:style w:type="paragraph" w:styleId="Footer">
    <w:name w:val="footer"/>
    <w:basedOn w:val="Normal"/>
    <w:link w:val="FooterChar"/>
    <w:uiPriority w:val="99"/>
    <w:unhideWhenUsed/>
    <w:rsid w:val="00191B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B02"/>
  </w:style>
  <w:style w:type="paragraph" w:styleId="Subtitle">
    <w:name w:val="Subtitle"/>
    <w:basedOn w:val="Normal"/>
    <w:next w:val="Normal"/>
    <w:link w:val="SubtitleChar"/>
    <w:uiPriority w:val="11"/>
    <w:qFormat/>
    <w:rsid w:val="0080420D"/>
    <w:pPr>
      <w:numPr>
        <w:ilvl w:val="1"/>
      </w:numPr>
      <w:spacing w:before="0" w:after="0" w:line="480" w:lineRule="auto"/>
      <w:jc w:val="left"/>
    </w:pPr>
    <w:rPr>
      <w:rFonts w:asciiTheme="minorHAnsi" w:eastAsiaTheme="minorEastAsia" w:hAnsiTheme="minorHAnsi" w:cstheme="minorBidi"/>
      <w:color w:val="767171" w:themeColor="background2" w:themeShade="80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0420D"/>
    <w:rPr>
      <w:rFonts w:asciiTheme="minorHAnsi" w:eastAsiaTheme="minorEastAsia" w:hAnsiTheme="minorHAnsi" w:cstheme="minorBidi"/>
      <w:color w:val="767171" w:themeColor="background2" w:themeShade="80"/>
      <w:spacing w:val="15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1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360" w:lineRule="auto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12"/>
    <w:rPr>
      <w:i/>
      <w:iCs/>
      <w:color w:val="4472C4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9B63A7"/>
    <w:pPr>
      <w:spacing w:before="0" w:after="200"/>
      <w:ind w:left="567" w:right="521"/>
      <w:jc w:val="left"/>
    </w:pPr>
    <w:rPr>
      <w:color w:val="44546A" w:themeColor="text2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ibiapuglu3soortbpu4ww" Type="http://schemas.openxmlformats.org/officeDocument/2006/relationships/hyperlink" Target="https://doi.org/10.1007/978-3-030-79876-5_37" TargetMode="External"/><Relationship Id="rIdxgs--n0bljgr7yqjoqi-x" Type="http://schemas.openxmlformats.org/officeDocument/2006/relationships/hyperlink" Target="https://doi.org/10.1145/3372885.3373824" TargetMode="External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nj9ayg5lssiewnrjnqhl4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Foundations</dc:title>
  <dc:creator>Un-named</dc:creator>
  <cp:lastModifiedBy>Un-named</cp:lastModifiedBy>
  <cp:revision>1</cp:revision>
  <dcterms:created xsi:type="dcterms:W3CDTF">2026-07-19T03:16:18.083Z</dcterms:created>
  <dcterms:modified xsi:type="dcterms:W3CDTF">2026-07-19T03:16:18.083Z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