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Decisions, Constraints, and Justifications,Universally standard data structure for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Re-wote discussion on Key Value structure used in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Expressed the log better as a key value data structure, and explained the choice against using Raft’s normal List style 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Decisions, Constraints, and Justifications,Task/callback style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Added section discussing the asynchronous design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Clarity primarily, but we noticed it as an important design consideration which had been omitted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Final Architecture, Architectural Mechanisms, Architectural Mechanism 4 -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Qualify the way in which we implement security within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We are no longer using manual verification and certificate based authentication, we’re moving onto a simpler to implement, and simpler for usability reasons of password based authentication.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Final Architecture, Layers or Architectural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Update image to reflect API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diagram</w:t>
            </w:r>
          </w:p>
        </w:tc>
      </w:tr>
    </w:tbl>
    <w:p w:rsidR="00000000" w:rsidDel="00000000" w:rsidP="00000000" w:rsidRDefault="00000000" w:rsidRPr="00000000" w14:paraId="000000E6">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