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-742948</wp:posOffset>
            </wp:positionH>
            <wp:positionV relativeFrom="paragraph">
              <wp:posOffset>541</wp:posOffset>
            </wp:positionV>
            <wp:extent cx="1452081" cy="1195831"/>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52081" cy="1195831"/>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Society of St. Francis Xavier, Pilar’s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Fr. Conceicao Rodrigues College of Engineering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Fr. Agnel Technical Education Complex Bandstand,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Bandra Mumbai -400 050</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70"/>
        </w:tabs>
        <w:spacing w:after="0" w:before="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______________________________________________________________</w:t>
        <w:tab/>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spacing w:after="58" w:lineRule="auto"/>
        <w:ind w:left="1170" w:hanging="126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Department of Artificial Intelligence &amp; Data Science</w:t>
      </w:r>
    </w:p>
    <w:p w:rsidR="00000000" w:rsidDel="00000000" w:rsidP="00000000" w:rsidRDefault="00000000" w:rsidRPr="00000000" w14:paraId="00000009">
      <w:pPr>
        <w:pStyle w:val="Heading1"/>
        <w:ind w:firstLine="40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Project Proposal Format</w:t>
      </w:r>
    </w:p>
    <w:p w:rsidR="00000000" w:rsidDel="00000000" w:rsidP="00000000" w:rsidRDefault="00000000" w:rsidRPr="00000000" w14:paraId="0000000A">
      <w:pPr>
        <w:spacing w:after="383" w:lineRule="auto"/>
        <w:ind w:left="37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2026 - 2027</w:t>
      </w:r>
      <w:r w:rsidDel="00000000" w:rsidR="00000000" w:rsidRPr="00000000">
        <w:rPr>
          <w:rtl w:val="0"/>
        </w:rPr>
      </w:r>
    </w:p>
    <w:p w:rsidR="00000000" w:rsidDel="00000000" w:rsidP="00000000" w:rsidRDefault="00000000" w:rsidRPr="00000000" w14:paraId="0000000B">
      <w:pPr>
        <w:numPr>
          <w:ilvl w:val="0"/>
          <w:numId w:val="4"/>
        </w:numPr>
        <w:spacing w:after="230" w:lineRule="auto"/>
        <w:ind w:left="1245"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Name of the student(s) with roll numbers</w:t>
      </w:r>
      <w:r w:rsidDel="00000000" w:rsidR="00000000" w:rsidRPr="00000000">
        <w:rPr>
          <w:rtl w:val="0"/>
        </w:rPr>
      </w:r>
    </w:p>
    <w:tbl>
      <w:tblPr>
        <w:tblStyle w:val="Table1"/>
        <w:tblW w:w="7800.0" w:type="dxa"/>
        <w:jc w:val="left"/>
        <w:tblInd w:w="1260.0" w:type="dxa"/>
        <w:tblLayout w:type="fixed"/>
        <w:tblLook w:val="0400"/>
      </w:tblPr>
      <w:tblGrid>
        <w:gridCol w:w="2000"/>
        <w:gridCol w:w="1560"/>
        <w:gridCol w:w="4240"/>
        <w:tblGridChange w:id="0">
          <w:tblGrid>
            <w:gridCol w:w="2000"/>
            <w:gridCol w:w="1560"/>
            <w:gridCol w:w="4240"/>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C">
            <w:pPr>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Member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Roll 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Name of the student</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F">
            <w:pPr>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1.(Group leader)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10365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JOSHUA PARMAR</w:t>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10377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JOHNSON SERRAO</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5">
            <w:pPr>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10343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GODFREY FERNANDO</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ind w:left="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10099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BRISTO JOSEPH</w:t>
            </w:r>
          </w:p>
        </w:tc>
      </w:tr>
    </w:tbl>
    <w:p w:rsidR="00000000" w:rsidDel="00000000" w:rsidP="00000000" w:rsidRDefault="00000000" w:rsidRPr="00000000" w14:paraId="0000001B">
      <w:pPr>
        <w:numPr>
          <w:ilvl w:val="0"/>
          <w:numId w:val="4"/>
        </w:numPr>
        <w:spacing w:after="270" w:line="265" w:lineRule="auto"/>
        <w:ind w:left="1245"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Title of the Project: Intelligent GPU Cluster Observability and Predictive Maintenance Platform using AIOps OR AIOps-Based Intelligent GPU Cluster Observability Platform for Predictive Maintenance and Resource Optimization </w:t>
      </w:r>
      <w:r w:rsidDel="00000000" w:rsidR="00000000" w:rsidRPr="00000000">
        <w:rPr>
          <w:rtl w:val="0"/>
        </w:rPr>
      </w:r>
    </w:p>
    <w:p w:rsidR="00000000" w:rsidDel="00000000" w:rsidP="00000000" w:rsidRDefault="00000000" w:rsidRPr="00000000" w14:paraId="0000001C">
      <w:pPr>
        <w:numPr>
          <w:ilvl w:val="0"/>
          <w:numId w:val="4"/>
        </w:numPr>
        <w:spacing w:after="0" w:line="265" w:lineRule="auto"/>
        <w:ind w:left="1245"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Project Category:</w:t>
      </w:r>
      <w:r w:rsidDel="00000000" w:rsidR="00000000" w:rsidRPr="00000000">
        <w:rPr>
          <w:rtl w:val="0"/>
        </w:rPr>
      </w:r>
    </w:p>
    <w:tbl>
      <w:tblPr>
        <w:tblStyle w:val="Table2"/>
        <w:tblW w:w="6100.0" w:type="dxa"/>
        <w:jc w:val="left"/>
        <w:tblInd w:w="2680.0" w:type="dxa"/>
        <w:tblLayout w:type="fixed"/>
        <w:tblLook w:val="0400"/>
      </w:tblPr>
      <w:tblGrid>
        <w:gridCol w:w="2160"/>
        <w:gridCol w:w="540"/>
        <w:gridCol w:w="2880"/>
        <w:gridCol w:w="520"/>
        <w:tblGridChange w:id="0">
          <w:tblGrid>
            <w:gridCol w:w="2160"/>
            <w:gridCol w:w="540"/>
            <w:gridCol w:w="2880"/>
            <w:gridCol w:w="520"/>
          </w:tblGrid>
        </w:tblGridChange>
      </w:tblGrid>
      <w:tr>
        <w:trPr>
          <w:cantSplit w:val="0"/>
          <w:trHeight w:val="380.9765625" w:hRule="atLeast"/>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Research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ind w:left="15" w:firstLine="0"/>
              <w:jc w:val="both"/>
              <w:rPr>
                <w:rFonts w:ascii="Times New Roman" w:cs="Times New Roman" w:eastAsia="Times New Roman" w:hAnsi="Times New Roman"/>
              </w:rPr>
            </w:pPr>
            <w:sdt>
              <w:sdtPr>
                <w:id w:val="-903928273"/>
                <w:tag w:val="goog_rdk_0"/>
              </w:sdtPr>
              <w:sdtContent>
                <w:r w:rsidDel="00000000" w:rsidR="00000000" w:rsidRPr="00000000">
                  <w:rPr>
                    <w:rFonts w:ascii="Gungsuh" w:cs="Gungsuh" w:eastAsia="Gungsuh" w:hAnsi="Gungsuh"/>
                    <w:sz w:val="26"/>
                    <w:szCs w:val="26"/>
                    <w:rtl w:val="0"/>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Software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jc w:val="both"/>
              <w:rPr>
                <w:rFonts w:ascii="Times New Roman" w:cs="Times New Roman" w:eastAsia="Times New Roman" w:hAnsi="Times New Roman"/>
              </w:rPr>
            </w:pPr>
            <w:sdt>
              <w:sdtPr>
                <w:id w:val="1778361861"/>
                <w:tag w:val="goog_rdk_1"/>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rtl w:val="0"/>
              </w:rPr>
            </w:r>
          </w:p>
        </w:tc>
      </w:tr>
      <w:tr>
        <w:trPr>
          <w:cantSplit w:val="0"/>
          <w:trHeight w:val="519.54424385913"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Application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2">
            <w:pPr>
              <w:ind w:left="15" w:firstLine="0"/>
              <w:jc w:val="both"/>
              <w:rPr>
                <w:rFonts w:ascii="Times New Roman" w:cs="Times New Roman" w:eastAsia="Times New Roman" w:hAnsi="Times New Roman"/>
              </w:rPr>
            </w:pPr>
            <w:sdt>
              <w:sdtPr>
                <w:id w:val="1689905628"/>
                <w:tag w:val="goog_rdk_2"/>
              </w:sdtPr>
              <w:sdtContent>
                <w:r w:rsidDel="00000000" w:rsidR="00000000" w:rsidRPr="00000000">
                  <w:rPr>
                    <w:rFonts w:ascii="Gungsuh" w:cs="Gungsuh" w:eastAsia="Gungsuh" w:hAnsi="Gungsuh"/>
                    <w:sz w:val="26"/>
                    <w:szCs w:val="26"/>
                    <w:rtl w:val="0"/>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Hardware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tl w:val="0"/>
              </w:rPr>
            </w:r>
          </w:p>
        </w:tc>
      </w:tr>
      <w:tr>
        <w:trPr>
          <w:cantSplit w:val="0"/>
          <w:trHeight w:val="519.54424385913"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ind w:left="15" w:firstLine="0"/>
              <w:jc w:val="both"/>
              <w:rPr>
                <w:rFonts w:ascii="Times New Roman" w:cs="Times New Roman" w:eastAsia="Times New Roman" w:hAnsi="Times New Roman"/>
              </w:rPr>
            </w:pPr>
            <w:sdt>
              <w:sdtPr>
                <w:id w:val="600862330"/>
                <w:tag w:val="goog_rdk_3"/>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Software and Hardware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29">
      <w:pPr>
        <w:spacing w:after="0" w:line="265" w:lineRule="auto"/>
        <w:ind w:left="124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0" w:line="265" w:lineRule="auto"/>
        <w:ind w:left="124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after="0" w:line="265" w:lineRule="auto"/>
        <w:ind w:left="124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numPr>
          <w:ilvl w:val="0"/>
          <w:numId w:val="4"/>
        </w:numPr>
        <w:spacing w:after="0" w:line="265" w:lineRule="auto"/>
        <w:ind w:left="1245"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Project Domain(s): </w:t>
      </w:r>
      <w:r w:rsidDel="00000000" w:rsidR="00000000" w:rsidRPr="00000000">
        <w:rPr>
          <w:rtl w:val="0"/>
        </w:rPr>
      </w:r>
    </w:p>
    <w:p w:rsidR="00000000" w:rsidDel="00000000" w:rsidP="00000000" w:rsidRDefault="00000000" w:rsidRPr="00000000" w14:paraId="0000002D">
      <w:pPr>
        <w:numPr>
          <w:ilvl w:val="0"/>
          <w:numId w:val="1"/>
        </w:numPr>
        <w:spacing w:after="0" w:line="26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Artificial Intelligence for IT Operations (AIOps)</w:t>
      </w:r>
    </w:p>
    <w:p w:rsidR="00000000" w:rsidDel="00000000" w:rsidP="00000000" w:rsidRDefault="00000000" w:rsidRPr="00000000" w14:paraId="0000002E">
      <w:pPr>
        <w:numPr>
          <w:ilvl w:val="0"/>
          <w:numId w:val="1"/>
        </w:numPr>
        <w:spacing w:after="0" w:line="26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Cloud Computing &amp; Data Center Infrastructure</w:t>
      </w:r>
    </w:p>
    <w:p w:rsidR="00000000" w:rsidDel="00000000" w:rsidP="00000000" w:rsidRDefault="00000000" w:rsidRPr="00000000" w14:paraId="0000002F">
      <w:pPr>
        <w:numPr>
          <w:ilvl w:val="0"/>
          <w:numId w:val="1"/>
        </w:numPr>
        <w:spacing w:after="0" w:line="26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GPU Cluster Management &amp; High-Performance Computing (HPC)</w:t>
      </w:r>
    </w:p>
    <w:p w:rsidR="00000000" w:rsidDel="00000000" w:rsidP="00000000" w:rsidRDefault="00000000" w:rsidRPr="00000000" w14:paraId="00000030">
      <w:pPr>
        <w:numPr>
          <w:ilvl w:val="0"/>
          <w:numId w:val="1"/>
        </w:numPr>
        <w:spacing w:after="0" w:line="26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Predictive Maintenance &amp; Anomaly Detection</w:t>
      </w:r>
    </w:p>
    <w:p w:rsidR="00000000" w:rsidDel="00000000" w:rsidP="00000000" w:rsidRDefault="00000000" w:rsidRPr="00000000" w14:paraId="00000031">
      <w:pPr>
        <w:numPr>
          <w:ilvl w:val="0"/>
          <w:numId w:val="1"/>
        </w:numPr>
        <w:spacing w:after="0" w:line="26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Distributed Systems</w:t>
      </w:r>
    </w:p>
    <w:p w:rsidR="00000000" w:rsidDel="00000000" w:rsidP="00000000" w:rsidRDefault="00000000" w:rsidRPr="00000000" w14:paraId="00000032">
      <w:pPr>
        <w:numPr>
          <w:ilvl w:val="0"/>
          <w:numId w:val="1"/>
        </w:numPr>
        <w:spacing w:after="0" w:line="26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Time-Series Analytics</w:t>
      </w:r>
    </w:p>
    <w:p w:rsidR="00000000" w:rsidDel="00000000" w:rsidP="00000000" w:rsidRDefault="00000000" w:rsidRPr="00000000" w14:paraId="00000033">
      <w:pPr>
        <w:numPr>
          <w:ilvl w:val="0"/>
          <w:numId w:val="1"/>
        </w:numPr>
        <w:spacing w:after="0" w:line="26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Explainable Artificial Intelligence (XAI)</w:t>
      </w:r>
      <w:r w:rsidDel="00000000" w:rsidR="00000000" w:rsidRPr="00000000">
        <w:rPr>
          <w:rtl w:val="0"/>
        </w:rPr>
      </w:r>
    </w:p>
    <w:p w:rsidR="00000000" w:rsidDel="00000000" w:rsidP="00000000" w:rsidRDefault="00000000" w:rsidRPr="00000000" w14:paraId="00000034">
      <w:pPr>
        <w:spacing w:after="0" w:line="265" w:lineRule="auto"/>
        <w:ind w:left="124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0" w:line="265" w:lineRule="auto"/>
        <w:ind w:left="124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numPr>
          <w:ilvl w:val="0"/>
          <w:numId w:val="4"/>
        </w:numPr>
        <w:spacing w:after="0" w:line="265" w:lineRule="auto"/>
        <w:ind w:left="1245" w:hanging="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Project Abstract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37">
      <w:pPr>
        <w:spacing w:after="240" w:before="240" w:line="26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rapid adoption of Large Language Models (LLMs), Generative AI, and high-performance computing has led to the deployment of massive GPU clusters within modern AI data centers, where thousands of Graphics Processing Units (GPUs) operate simultaneously to execute computationally intensive workloads. Ensuring the reliability, availability, and optimal utilization of these GPU resources has become a significant operational challenge, as conventional infrastructure monitoring platforms primarily rely on static threshold-based alerts and manual analysis of telemetry data. Such approaches are often reactive in nature, making it difficult for infrastructure teams to identify subtle performance degradation, detect anomalous GPU behavior at an early stage, determine the root cause of failures, and optimize resource allocation before service disruptions occur.</w:t>
      </w:r>
    </w:p>
    <w:p w:rsidR="00000000" w:rsidDel="00000000" w:rsidP="00000000" w:rsidRDefault="00000000" w:rsidRPr="00000000" w14:paraId="00000038">
      <w:pPr>
        <w:spacing w:after="240" w:before="240" w:line="26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proposes an </w:t>
      </w:r>
      <w:r w:rsidDel="00000000" w:rsidR="00000000" w:rsidRPr="00000000">
        <w:rPr>
          <w:rFonts w:ascii="Times New Roman" w:cs="Times New Roman" w:eastAsia="Times New Roman" w:hAnsi="Times New Roman"/>
          <w:b w:val="1"/>
          <w:bCs w:val="1"/>
          <w:rtl w:val="0"/>
        </w:rPr>
        <w:t xml:space="preserve">Enterprise AIOps Platform for Intelligent GPU Infrastructure Management</w:t>
      </w:r>
      <w:r w:rsidDel="00000000" w:rsidR="00000000" w:rsidRPr="00000000">
        <w:rPr>
          <w:rFonts w:ascii="Times New Roman" w:cs="Times New Roman" w:eastAsia="Times New Roman" w:hAnsi="Times New Roman"/>
          <w:rtl w:val="0"/>
        </w:rPr>
        <w:t xml:space="preserve">, designed to provide autonomous observability, predictive maintenance, and intelligent decision support for large-scale GPU clusters. The proposed system continuously collects GPU telemetry, including utilization, temperature, power consumption, memory usage, clock frequencies, ECC error statistics, and other operational metrics through NVIDIA's monitoring interfaces. The collected telemetry is stored within a scalable time-series database and analyzed using Artificial Intelligence and Machine Learning techniques to model normal GPU behavior, identify anomalies, estimate hardware health, and predict potential failures before they impact ongoing workloads.</w:t>
      </w:r>
    </w:p>
    <w:p w:rsidR="00000000" w:rsidDel="00000000" w:rsidP="00000000" w:rsidRDefault="00000000" w:rsidRPr="00000000" w14:paraId="00000039">
      <w:pPr>
        <w:spacing w:after="240" w:before="240" w:line="26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existing GPU monitoring solutions that primarily visualize operational metrics, the proposed platform incorporates an AI-driven analytics engine capable of anomaly detection, predictive maintenance, GPU health scoring, explainable root cause analysis, and intelligent workload optimization recommendations. Explainable Artificial Intelligence (XAI) techniques will be integrated to provide transparent reasoning behind every prediction, enabling infrastructure administrators to understand the factors contributing to abnormal GPU behavior and make informed operational decisions. The platform will further prioritize alerts based on severity, recommend proactive maintenance actions, and suggest workload redistribution to healthier GPU resources in order to improve cluster reliability and operational efficiency.</w:t>
      </w:r>
    </w:p>
    <w:p w:rsidR="00000000" w:rsidDel="00000000" w:rsidP="00000000" w:rsidRDefault="00000000" w:rsidRPr="00000000" w14:paraId="0000003A">
      <w:pPr>
        <w:spacing w:after="240" w:before="240" w:line="26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will be implemented using a FastAPI-based backend, React-based enterprise dashboard, PostgreSQL and TimescaleDB for telemetry management, and modern Machine Learning frameworks such as Scikit-learn and PyTorch for predictive analytics. Since access to production-scale GPU data centers is impractical in an academic environment, the project will combine real GPU telemetry collected through NVIDIA Management Library (NVML) interfaces with realistic workload simulations and fault injection techniques to emulate large-scale infrastructure scenarios. The developed platform will be evaluated using performance metrics including anomaly detection accuracy, prediction precision, alert latency, health score consistency, and system responsiveness. The scope of the current project is limited to intelligent monitoring, predictive maintenance, and decision support for GPU infrastructure, while autonomous workload migration, hardware-level fault recovery, and deployment within production-scale data centers are identified as future enhancements.</w:t>
      </w:r>
    </w:p>
    <w:p w:rsidR="00000000" w:rsidDel="00000000" w:rsidP="00000000" w:rsidRDefault="00000000" w:rsidRPr="00000000" w14:paraId="0000003B">
      <w:pPr>
        <w:spacing w:after="0" w:line="265" w:lineRule="auto"/>
        <w:ind w:left="1245"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C">
      <w:pPr>
        <w:numPr>
          <w:ilvl w:val="0"/>
          <w:numId w:val="4"/>
        </w:numPr>
        <w:spacing w:after="0" w:line="265" w:lineRule="auto"/>
        <w:ind w:left="1245" w:hanging="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Objectives of the project: </w:t>
      </w:r>
      <w:r w:rsidDel="00000000" w:rsidR="00000000" w:rsidRPr="00000000">
        <w:rPr>
          <w:rtl w:val="0"/>
        </w:rPr>
      </w:r>
    </w:p>
    <w:p w:rsidR="00000000" w:rsidDel="00000000" w:rsidP="00000000" w:rsidRDefault="00000000" w:rsidRPr="00000000" w14:paraId="0000003D">
      <w:pPr>
        <w:spacing w:after="0" w:line="265" w:lineRule="auto"/>
        <w:ind w:left="1245"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E">
      <w:pPr>
        <w:numPr>
          <w:ilvl w:val="0"/>
          <w:numId w:val="5"/>
        </w:numPr>
        <w:spacing w:after="0" w:line="265"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an AI-powered GPU infrastructure observability platform that continuously collects and analyzes real-time GPU telemetry, including utilization, temperature, memory usage, power consumption, and other operational metrics to monitor the health of GPU clusters.</w:t>
      </w:r>
    </w:p>
    <w:p w:rsidR="00000000" w:rsidDel="00000000" w:rsidP="00000000" w:rsidRDefault="00000000" w:rsidRPr="00000000" w14:paraId="0000003F">
      <w:pPr>
        <w:numPr>
          <w:ilvl w:val="0"/>
          <w:numId w:val="5"/>
        </w:numPr>
        <w:spacing w:after="0" w:line="265"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and implement an intelligent anomaly detection and predictive maintenance framework that identifies abnormal GPU behavior, estimates GPU Health Scores and Failure Risk Scores, and provides proactive maintenance recommendations using Machine Learning and Explainable AI techniques.</w:t>
      </w:r>
    </w:p>
    <w:p w:rsidR="00000000" w:rsidDel="00000000" w:rsidP="00000000" w:rsidRDefault="00000000" w:rsidRPr="00000000" w14:paraId="00000040">
      <w:pPr>
        <w:numPr>
          <w:ilvl w:val="0"/>
          <w:numId w:val="5"/>
        </w:numPr>
        <w:spacing w:after="0" w:line="265"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an interactive enterprise monitoring dashboard that visualizes real-time GPU health, cluster performance, anomaly alerts, historical telemetry trends, and AI-generated insights to support efficient decision-making for data center administrators.</w:t>
      </w:r>
    </w:p>
    <w:p w:rsidR="00000000" w:rsidDel="00000000" w:rsidP="00000000" w:rsidRDefault="00000000" w:rsidRPr="00000000" w14:paraId="00000041">
      <w:pPr>
        <w:spacing w:after="0" w:line="265"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0" w:line="265"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3">
      <w:pPr>
        <w:numPr>
          <w:ilvl w:val="0"/>
          <w:numId w:val="4"/>
        </w:numPr>
        <w:spacing w:after="0" w:line="265" w:lineRule="auto"/>
        <w:ind w:left="1245" w:hanging="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Project Structure Diagram: </w:t>
      </w:r>
      <w:r w:rsidDel="00000000" w:rsidR="00000000" w:rsidRPr="00000000">
        <w:rPr>
          <w:rtl w:val="0"/>
        </w:rPr>
      </w:r>
    </w:p>
    <w:p w:rsidR="00000000" w:rsidDel="00000000" w:rsidP="00000000" w:rsidRDefault="00000000" w:rsidRPr="00000000" w14:paraId="00000044">
      <w:pPr>
        <w:spacing w:after="271"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6334450" cy="42291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3445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384" w:lineRule="auto"/>
        <w:ind w:left="27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Figure 1: Project Structure Diagram</w:t>
      </w:r>
      <w:r w:rsidDel="00000000" w:rsidR="00000000" w:rsidRPr="00000000">
        <w:rPr>
          <w:rtl w:val="0"/>
        </w:rPr>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illustrates the architecture of the proposed </w:t>
      </w:r>
      <w:r w:rsidDel="00000000" w:rsidR="00000000" w:rsidRPr="00000000">
        <w:rPr>
          <w:rFonts w:ascii="Times New Roman" w:cs="Times New Roman" w:eastAsia="Times New Roman" w:hAnsi="Times New Roman"/>
          <w:b w:val="1"/>
          <w:bCs w:val="1"/>
          <w:sz w:val="24"/>
          <w:szCs w:val="24"/>
          <w:rtl w:val="0"/>
        </w:rPr>
        <w:t xml:space="preserve">Enterprise AIOps Platform for Intelligent GPU Infrastructure Management</w:t>
      </w:r>
      <w:r w:rsidDel="00000000" w:rsidR="00000000" w:rsidRPr="00000000">
        <w:rPr>
          <w:rFonts w:ascii="Times New Roman" w:cs="Times New Roman" w:eastAsia="Times New Roman" w:hAnsi="Times New Roman"/>
          <w:sz w:val="24"/>
          <w:szCs w:val="24"/>
          <w:rtl w:val="0"/>
        </w:rPr>
        <w:t xml:space="preserve">. The system begins by collecting real-time telemetry data from NVIDIA GPU clusters using NVIDIA Management Library (NVML) and NVIDIA Data Center GPU Manager (DCGM). The collected telemetry includes GPU utilization, temperature, memory usage, power consumption, clock frequencies, process information, and other hardware health metrics required for continuous infrastructure monitoring.</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collected telemetry is then passed to the </w:t>
      </w:r>
      <w:r w:rsidDel="00000000" w:rsidR="00000000" w:rsidRPr="00000000">
        <w:rPr>
          <w:rFonts w:ascii="Times New Roman" w:cs="Times New Roman" w:eastAsia="Times New Roman" w:hAnsi="Times New Roman"/>
          <w:b w:val="1"/>
          <w:bCs w:val="1"/>
          <w:sz w:val="24"/>
          <w:szCs w:val="24"/>
          <w:rtl w:val="0"/>
        </w:rPr>
        <w:t xml:space="preserve">Telemetry Preprocessing</w:t>
      </w:r>
      <w:r w:rsidDel="00000000" w:rsidR="00000000" w:rsidRPr="00000000">
        <w:rPr>
          <w:rFonts w:ascii="Times New Roman" w:cs="Times New Roman" w:eastAsia="Times New Roman" w:hAnsi="Times New Roman"/>
          <w:sz w:val="24"/>
          <w:szCs w:val="24"/>
          <w:rtl w:val="0"/>
        </w:rPr>
        <w:t xml:space="preserve"> module, where the data undergoes validation, cleaning, normalization, and feature extraction to improve data quality and prepare it for Machine Learning analysis. The processed telemetry is stored in a centralized </w:t>
      </w:r>
      <w:r w:rsidDel="00000000" w:rsidR="00000000" w:rsidRPr="00000000">
        <w:rPr>
          <w:rFonts w:ascii="Times New Roman" w:cs="Times New Roman" w:eastAsia="Times New Roman" w:hAnsi="Times New Roman"/>
          <w:b w:val="1"/>
          <w:bCs w:val="1"/>
          <w:sz w:val="24"/>
          <w:szCs w:val="24"/>
          <w:rtl w:val="0"/>
        </w:rPr>
        <w:t xml:space="preserve">GPU Telemetry Database</w:t>
      </w:r>
      <w:r w:rsidDel="00000000" w:rsidR="00000000" w:rsidRPr="00000000">
        <w:rPr>
          <w:rFonts w:ascii="Times New Roman" w:cs="Times New Roman" w:eastAsia="Times New Roman" w:hAnsi="Times New Roman"/>
          <w:sz w:val="24"/>
          <w:szCs w:val="24"/>
          <w:rtl w:val="0"/>
        </w:rPr>
        <w:t xml:space="preserve">, which maintains both real-time and historical performance records for trend analysis and model training.</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processed data is subsequently analyzed by the </w:t>
      </w:r>
      <w:r w:rsidDel="00000000" w:rsidR="00000000" w:rsidRPr="00000000">
        <w:rPr>
          <w:rFonts w:ascii="Times New Roman" w:cs="Times New Roman" w:eastAsia="Times New Roman" w:hAnsi="Times New Roman"/>
          <w:b w:val="1"/>
          <w:bCs w:val="1"/>
          <w:sz w:val="24"/>
          <w:szCs w:val="24"/>
          <w:rtl w:val="0"/>
        </w:rPr>
        <w:t xml:space="preserve">AI Analytics Engine</w:t>
      </w:r>
      <w:r w:rsidDel="00000000" w:rsidR="00000000" w:rsidRPr="00000000">
        <w:rPr>
          <w:rFonts w:ascii="Times New Roman" w:cs="Times New Roman" w:eastAsia="Times New Roman" w:hAnsi="Times New Roman"/>
          <w:sz w:val="24"/>
          <w:szCs w:val="24"/>
          <w:rtl w:val="0"/>
        </w:rPr>
        <w:t xml:space="preserve">, which employs Machine Learning algorithms to learn normal GPU behavior, detect anomalous operational patterns, estimate GPU Health Scores, and calculate Failure Risk Scores. The analytics engine interacts with the </w:t>
      </w:r>
      <w:r w:rsidDel="00000000" w:rsidR="00000000" w:rsidRPr="00000000">
        <w:rPr>
          <w:rFonts w:ascii="Times New Roman" w:cs="Times New Roman" w:eastAsia="Times New Roman" w:hAnsi="Times New Roman"/>
          <w:b w:val="1"/>
          <w:bCs w:val="1"/>
          <w:sz w:val="24"/>
          <w:szCs w:val="24"/>
          <w:rtl w:val="0"/>
        </w:rPr>
        <w:t xml:space="preserve">AI Model Repository</w:t>
      </w:r>
      <w:r w:rsidDel="00000000" w:rsidR="00000000" w:rsidRPr="00000000">
        <w:rPr>
          <w:rFonts w:ascii="Times New Roman" w:cs="Times New Roman" w:eastAsia="Times New Roman" w:hAnsi="Times New Roman"/>
          <w:sz w:val="24"/>
          <w:szCs w:val="24"/>
          <w:rtl w:val="0"/>
        </w:rPr>
        <w:t xml:space="preserve"> to retrieve trained models and continuously improve prediction accuracy using historical telemetry data.</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insights are forwarded to the </w:t>
      </w:r>
      <w:r w:rsidDel="00000000" w:rsidR="00000000" w:rsidRPr="00000000">
        <w:rPr>
          <w:rFonts w:ascii="Times New Roman" w:cs="Times New Roman" w:eastAsia="Times New Roman" w:hAnsi="Times New Roman"/>
          <w:b w:val="1"/>
          <w:bCs w:val="1"/>
          <w:sz w:val="24"/>
          <w:szCs w:val="24"/>
          <w:rtl w:val="0"/>
        </w:rPr>
        <w:t xml:space="preserve">Decision Support Engine</w:t>
      </w:r>
      <w:r w:rsidDel="00000000" w:rsidR="00000000" w:rsidRPr="00000000">
        <w:rPr>
          <w:rFonts w:ascii="Times New Roman" w:cs="Times New Roman" w:eastAsia="Times New Roman" w:hAnsi="Times New Roman"/>
          <w:sz w:val="24"/>
          <w:szCs w:val="24"/>
          <w:rtl w:val="0"/>
        </w:rPr>
        <w:t xml:space="preserve">, which performs intelligent root cause analysis, prioritizes alerts based on severity, and generates proactive maintenance recommendations to help administrators prevent potential GPU failures and optimize overall cluster performance. All generated alerts and recommendations are archived in the </w:t>
      </w:r>
      <w:r w:rsidDel="00000000" w:rsidR="00000000" w:rsidRPr="00000000">
        <w:rPr>
          <w:rFonts w:ascii="Times New Roman" w:cs="Times New Roman" w:eastAsia="Times New Roman" w:hAnsi="Times New Roman"/>
          <w:b w:val="1"/>
          <w:bCs w:val="1"/>
          <w:sz w:val="24"/>
          <w:szCs w:val="24"/>
          <w:rtl w:val="0"/>
        </w:rPr>
        <w:t xml:space="preserve">Alert History Database</w:t>
      </w:r>
      <w:r w:rsidDel="00000000" w:rsidR="00000000" w:rsidRPr="00000000">
        <w:rPr>
          <w:rFonts w:ascii="Times New Roman" w:cs="Times New Roman" w:eastAsia="Times New Roman" w:hAnsi="Times New Roman"/>
          <w:sz w:val="24"/>
          <w:szCs w:val="24"/>
          <w:rtl w:val="0"/>
        </w:rPr>
        <w:t xml:space="preserve"> for future analysis and auditing.</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processed information is presented through the </w:t>
      </w:r>
      <w:r w:rsidDel="00000000" w:rsidR="00000000" w:rsidRPr="00000000">
        <w:rPr>
          <w:rFonts w:ascii="Times New Roman" w:cs="Times New Roman" w:eastAsia="Times New Roman" w:hAnsi="Times New Roman"/>
          <w:b w:val="1"/>
          <w:bCs w:val="1"/>
          <w:sz w:val="24"/>
          <w:szCs w:val="24"/>
          <w:rtl w:val="0"/>
        </w:rPr>
        <w:t xml:space="preserve">Enterprise Monitoring Dashboard</w:t>
      </w:r>
      <w:r w:rsidDel="00000000" w:rsidR="00000000" w:rsidRPr="00000000">
        <w:rPr>
          <w:rFonts w:ascii="Times New Roman" w:cs="Times New Roman" w:eastAsia="Times New Roman" w:hAnsi="Times New Roman"/>
          <w:sz w:val="24"/>
          <w:szCs w:val="24"/>
          <w:rtl w:val="0"/>
        </w:rPr>
        <w:t xml:space="preserve">, which provides infrastructure administrators with real-time visualization of GPU health, anomaly alerts, historical telemetry trends, cluster utilization, and AI-generated insights. Critical events are simultaneously delivered through the </w:t>
      </w:r>
      <w:r w:rsidDel="00000000" w:rsidR="00000000" w:rsidRPr="00000000">
        <w:rPr>
          <w:rFonts w:ascii="Times New Roman" w:cs="Times New Roman" w:eastAsia="Times New Roman" w:hAnsi="Times New Roman"/>
          <w:b w:val="1"/>
          <w:bCs w:val="1"/>
          <w:sz w:val="24"/>
          <w:szCs w:val="24"/>
          <w:rtl w:val="0"/>
        </w:rPr>
        <w:t xml:space="preserve">Alert &amp; Notification System</w:t>
      </w:r>
      <w:r w:rsidDel="00000000" w:rsidR="00000000" w:rsidRPr="00000000">
        <w:rPr>
          <w:rFonts w:ascii="Times New Roman" w:cs="Times New Roman" w:eastAsia="Times New Roman" w:hAnsi="Times New Roman"/>
          <w:sz w:val="24"/>
          <w:szCs w:val="24"/>
          <w:rtl w:val="0"/>
        </w:rPr>
        <w:t xml:space="preserve"> using channels such as email, SMS, or Slack, enabling timely intervention, minimizing downtime, and improving the reliability, availability, and operational efficiency of large-scale AI data center infrastructure.</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0"/>
          <w:numId w:val="4"/>
        </w:numPr>
        <w:spacing w:after="0" w:line="265" w:lineRule="auto"/>
        <w:ind w:left="1245" w:hanging="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System Requirements: </w:t>
      </w:r>
      <w:r w:rsidDel="00000000" w:rsidR="00000000" w:rsidRPr="00000000">
        <w:rPr>
          <w:rtl w:val="0"/>
        </w:rPr>
      </w:r>
    </w:p>
    <w:p w:rsidR="00000000" w:rsidDel="00000000" w:rsidP="00000000" w:rsidRDefault="00000000" w:rsidRPr="00000000" w14:paraId="0000004D">
      <w:pPr>
        <w:spacing w:after="0" w:line="265" w:lineRule="auto"/>
        <w:ind w:left="124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pStyle w:val="Heading4"/>
        <w:keepNext w:val="0"/>
        <w:keepLines w:val="0"/>
        <w:spacing w:line="265" w:lineRule="auto"/>
        <w:ind w:left="1245" w:firstLine="0"/>
        <w:jc w:val="both"/>
        <w:rPr>
          <w:rFonts w:ascii="Times New Roman" w:cs="Times New Roman" w:eastAsia="Times New Roman" w:hAnsi="Times New Roman"/>
          <w:sz w:val="22"/>
          <w:szCs w:val="22"/>
        </w:rPr>
      </w:pPr>
      <w:bookmarkStart w:colFirst="0" w:colLast="0" w:name="_heading=h.2a760miwd2fi" w:id="0"/>
      <w:bookmarkEnd w:id="0"/>
      <w:r w:rsidDel="00000000" w:rsidR="00000000" w:rsidRPr="00000000">
        <w:rPr>
          <w:rFonts w:ascii="Times New Roman" w:cs="Times New Roman" w:eastAsia="Times New Roman" w:hAnsi="Times New Roman"/>
          <w:sz w:val="22"/>
          <w:szCs w:val="22"/>
          <w:rtl w:val="0"/>
        </w:rPr>
        <w:t xml:space="preserve">Hardware Requirements:</w:t>
      </w:r>
    </w:p>
    <w:p w:rsidR="00000000" w:rsidDel="00000000" w:rsidP="00000000" w:rsidRDefault="00000000" w:rsidRPr="00000000" w14:paraId="0000004F">
      <w:pPr>
        <w:numPr>
          <w:ilvl w:val="0"/>
          <w:numId w:val="2"/>
        </w:numPr>
        <w:spacing w:after="0" w:afterAutospacing="0" w:before="240" w:line="26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Processor: Intel Core i5 (10th Generation or above) / AMD Ryzen 5 or equivalent</w:t>
      </w:r>
    </w:p>
    <w:p w:rsidR="00000000" w:rsidDel="00000000" w:rsidP="00000000" w:rsidRDefault="00000000" w:rsidRPr="00000000" w14:paraId="00000050">
      <w:pPr>
        <w:numPr>
          <w:ilvl w:val="0"/>
          <w:numId w:val="2"/>
        </w:numPr>
        <w:spacing w:after="0" w:afterAutospacing="0" w:before="0" w:beforeAutospacing="0" w:line="26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 Minimum 16 GB (32 GB Recommended)</w:t>
      </w:r>
    </w:p>
    <w:p w:rsidR="00000000" w:rsidDel="00000000" w:rsidP="00000000" w:rsidRDefault="00000000" w:rsidRPr="00000000" w14:paraId="00000051">
      <w:pPr>
        <w:numPr>
          <w:ilvl w:val="0"/>
          <w:numId w:val="2"/>
        </w:numPr>
        <w:spacing w:after="0" w:afterAutospacing="0" w:before="0" w:beforeAutospacing="0" w:line="26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 Minimum 512 GB SSD</w:t>
      </w:r>
    </w:p>
    <w:p w:rsidR="00000000" w:rsidDel="00000000" w:rsidP="00000000" w:rsidRDefault="00000000" w:rsidRPr="00000000" w14:paraId="00000052">
      <w:pPr>
        <w:numPr>
          <w:ilvl w:val="0"/>
          <w:numId w:val="2"/>
        </w:numPr>
        <w:spacing w:after="0" w:afterAutospacing="0" w:before="0" w:beforeAutospacing="0" w:line="26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GPU: NVIDIA GPU with CUDA support (GTX/RTX Series or Data Center GPU preferred for telemetry collection)</w:t>
      </w:r>
    </w:p>
    <w:p w:rsidR="00000000" w:rsidDel="00000000" w:rsidP="00000000" w:rsidRDefault="00000000" w:rsidRPr="00000000" w14:paraId="00000053">
      <w:pPr>
        <w:numPr>
          <w:ilvl w:val="0"/>
          <w:numId w:val="2"/>
        </w:numPr>
        <w:spacing w:after="240" w:before="0" w:beforeAutospacing="0" w:line="26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Connectivity: Stable broadband connection for software installation, updates, and cloud integration</w:t>
      </w:r>
    </w:p>
    <w:p w:rsidR="00000000" w:rsidDel="00000000" w:rsidP="00000000" w:rsidRDefault="00000000" w:rsidRPr="00000000" w14:paraId="00000054">
      <w:pPr>
        <w:pStyle w:val="Heading4"/>
        <w:keepNext w:val="0"/>
        <w:keepLines w:val="0"/>
        <w:spacing w:line="265" w:lineRule="auto"/>
        <w:ind w:left="1245" w:firstLine="0"/>
        <w:jc w:val="both"/>
        <w:rPr>
          <w:rFonts w:ascii="Times New Roman" w:cs="Times New Roman" w:eastAsia="Times New Roman" w:hAnsi="Times New Roman"/>
          <w:sz w:val="22"/>
          <w:szCs w:val="22"/>
        </w:rPr>
      </w:pPr>
      <w:bookmarkStart w:colFirst="0" w:colLast="0" w:name="_heading=h.su5vwx53mk8v" w:id="1"/>
      <w:bookmarkEnd w:id="1"/>
      <w:r w:rsidDel="00000000" w:rsidR="00000000" w:rsidRPr="00000000">
        <w:rPr>
          <w:rFonts w:ascii="Times New Roman" w:cs="Times New Roman" w:eastAsia="Times New Roman" w:hAnsi="Times New Roman"/>
          <w:sz w:val="22"/>
          <w:szCs w:val="22"/>
          <w:rtl w:val="0"/>
        </w:rPr>
        <w:t xml:space="preserve">Software Requirements:</w:t>
      </w:r>
    </w:p>
    <w:p w:rsidR="00000000" w:rsidDel="00000000" w:rsidP="00000000" w:rsidRDefault="00000000" w:rsidRPr="00000000" w14:paraId="00000055">
      <w:pPr>
        <w:numPr>
          <w:ilvl w:val="0"/>
          <w:numId w:val="7"/>
        </w:numPr>
        <w:spacing w:after="0" w:afterAutospacing="0" w:before="240" w:line="26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Operating System: Windows 11 / Ubuntu 22.04 LTS (Preferred)</w:t>
      </w:r>
    </w:p>
    <w:p w:rsidR="00000000" w:rsidDel="00000000" w:rsidP="00000000" w:rsidRDefault="00000000" w:rsidRPr="00000000" w14:paraId="00000056">
      <w:pPr>
        <w:numPr>
          <w:ilvl w:val="0"/>
          <w:numId w:val="7"/>
        </w:numPr>
        <w:spacing w:after="0" w:afterAutospacing="0" w:before="0" w:beforeAutospacing="0" w:line="26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 Language: Python 3.11+, TypeScript, JavaScript</w:t>
      </w:r>
    </w:p>
    <w:p w:rsidR="00000000" w:rsidDel="00000000" w:rsidP="00000000" w:rsidRDefault="00000000" w:rsidRPr="00000000" w14:paraId="00000057">
      <w:pPr>
        <w:numPr>
          <w:ilvl w:val="0"/>
          <w:numId w:val="7"/>
        </w:numPr>
        <w:spacing w:after="0" w:afterAutospacing="0" w:before="0" w:beforeAutospacing="0" w:line="26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Framework: FastAPI</w:t>
      </w:r>
    </w:p>
    <w:p w:rsidR="00000000" w:rsidDel="00000000" w:rsidP="00000000" w:rsidRDefault="00000000" w:rsidRPr="00000000" w14:paraId="00000058">
      <w:pPr>
        <w:numPr>
          <w:ilvl w:val="0"/>
          <w:numId w:val="7"/>
        </w:numPr>
        <w:spacing w:after="0" w:afterAutospacing="0" w:before="0" w:beforeAutospacing="0" w:line="26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Framework: React.js</w:t>
      </w:r>
    </w:p>
    <w:p w:rsidR="00000000" w:rsidDel="00000000" w:rsidP="00000000" w:rsidRDefault="00000000" w:rsidRPr="00000000" w14:paraId="00000059">
      <w:pPr>
        <w:numPr>
          <w:ilvl w:val="0"/>
          <w:numId w:val="7"/>
        </w:numPr>
        <w:spacing w:after="0" w:afterAutospacing="0" w:before="0" w:beforeAutospacing="0" w:line="26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Framework: Tailwind CSS</w:t>
      </w:r>
    </w:p>
    <w:p w:rsidR="00000000" w:rsidDel="00000000" w:rsidP="00000000" w:rsidRDefault="00000000" w:rsidRPr="00000000" w14:paraId="0000005A">
      <w:pPr>
        <w:numPr>
          <w:ilvl w:val="0"/>
          <w:numId w:val="7"/>
        </w:numPr>
        <w:spacing w:after="0" w:afterAutospacing="0" w:before="0" w:beforeAutospacing="0" w:line="26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PostgreSQL with TimescaleDB Extension</w:t>
      </w:r>
    </w:p>
    <w:p w:rsidR="00000000" w:rsidDel="00000000" w:rsidP="00000000" w:rsidRDefault="00000000" w:rsidRPr="00000000" w14:paraId="0000005B">
      <w:pPr>
        <w:numPr>
          <w:ilvl w:val="0"/>
          <w:numId w:val="7"/>
        </w:numPr>
        <w:spacing w:after="0" w:afterAutospacing="0" w:before="0" w:beforeAutospacing="0" w:line="26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Libraries: Scikit-learn, PyTorch</w:t>
      </w:r>
    </w:p>
    <w:p w:rsidR="00000000" w:rsidDel="00000000" w:rsidP="00000000" w:rsidRDefault="00000000" w:rsidRPr="00000000" w14:paraId="0000005C">
      <w:pPr>
        <w:numPr>
          <w:ilvl w:val="0"/>
          <w:numId w:val="7"/>
        </w:numPr>
        <w:spacing w:after="0" w:afterAutospacing="0" w:before="0" w:beforeAutospacing="0" w:line="26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GPU Monitoring Libraries: NVIDIA Management Library (NVML), NVIDIA Data Center GPU Manager (DCGM)</w:t>
      </w:r>
    </w:p>
    <w:p w:rsidR="00000000" w:rsidDel="00000000" w:rsidP="00000000" w:rsidRDefault="00000000" w:rsidRPr="00000000" w14:paraId="0000005D">
      <w:pPr>
        <w:numPr>
          <w:ilvl w:val="0"/>
          <w:numId w:val="7"/>
        </w:numPr>
        <w:spacing w:after="0" w:afterAutospacing="0" w:before="0" w:beforeAutospacing="0" w:line="26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Visualization: Recharts / Chart.js</w:t>
      </w:r>
    </w:p>
    <w:p w:rsidR="00000000" w:rsidDel="00000000" w:rsidP="00000000" w:rsidRDefault="00000000" w:rsidRPr="00000000" w14:paraId="0000005E">
      <w:pPr>
        <w:numPr>
          <w:ilvl w:val="0"/>
          <w:numId w:val="7"/>
        </w:numPr>
        <w:spacing w:after="0" w:afterAutospacing="0" w:before="0" w:beforeAutospacing="0" w:line="26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Testing: Postman</w:t>
      </w:r>
    </w:p>
    <w:p w:rsidR="00000000" w:rsidDel="00000000" w:rsidP="00000000" w:rsidRDefault="00000000" w:rsidRPr="00000000" w14:paraId="0000005F">
      <w:pPr>
        <w:numPr>
          <w:ilvl w:val="0"/>
          <w:numId w:val="7"/>
        </w:numPr>
        <w:spacing w:after="0" w:afterAutospacing="0" w:before="0" w:beforeAutospacing="0" w:line="26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Control: Git &amp; GitHub</w:t>
      </w:r>
    </w:p>
    <w:p w:rsidR="00000000" w:rsidDel="00000000" w:rsidP="00000000" w:rsidRDefault="00000000" w:rsidRPr="00000000" w14:paraId="00000060">
      <w:pPr>
        <w:numPr>
          <w:ilvl w:val="0"/>
          <w:numId w:val="7"/>
        </w:numPr>
        <w:spacing w:after="0" w:afterAutospacing="0" w:before="0" w:beforeAutospacing="0" w:line="26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Environment: Visual Studio Code</w:t>
      </w:r>
    </w:p>
    <w:p w:rsidR="00000000" w:rsidDel="00000000" w:rsidP="00000000" w:rsidRDefault="00000000" w:rsidRPr="00000000" w14:paraId="00000061">
      <w:pPr>
        <w:numPr>
          <w:ilvl w:val="0"/>
          <w:numId w:val="7"/>
        </w:numPr>
        <w:spacing w:after="240" w:before="0" w:beforeAutospacing="0" w:line="26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Containerization: Docker &amp; Docker Compose (Optional)</w:t>
      </w:r>
    </w:p>
    <w:p w:rsidR="00000000" w:rsidDel="00000000" w:rsidP="00000000" w:rsidRDefault="00000000" w:rsidRPr="00000000" w14:paraId="00000062">
      <w:pPr>
        <w:pStyle w:val="Heading4"/>
        <w:keepNext w:val="0"/>
        <w:keepLines w:val="0"/>
        <w:spacing w:line="265" w:lineRule="auto"/>
        <w:ind w:left="1245" w:firstLine="0"/>
        <w:jc w:val="both"/>
        <w:rPr>
          <w:rFonts w:ascii="Times New Roman" w:cs="Times New Roman" w:eastAsia="Times New Roman" w:hAnsi="Times New Roman"/>
          <w:sz w:val="22"/>
          <w:szCs w:val="22"/>
        </w:rPr>
      </w:pPr>
      <w:bookmarkStart w:colFirst="0" w:colLast="0" w:name="_heading=h.6dtkqj9i4g0l" w:id="2"/>
      <w:bookmarkEnd w:id="2"/>
      <w:r w:rsidDel="00000000" w:rsidR="00000000" w:rsidRPr="00000000">
        <w:rPr>
          <w:rFonts w:ascii="Times New Roman" w:cs="Times New Roman" w:eastAsia="Times New Roman" w:hAnsi="Times New Roman"/>
          <w:sz w:val="22"/>
          <w:szCs w:val="22"/>
          <w:rtl w:val="0"/>
        </w:rPr>
        <w:t xml:space="preserve">Development Tools:</w:t>
      </w:r>
    </w:p>
    <w:p w:rsidR="00000000" w:rsidDel="00000000" w:rsidP="00000000" w:rsidRDefault="00000000" w:rsidRPr="00000000" w14:paraId="00000063">
      <w:pPr>
        <w:numPr>
          <w:ilvl w:val="0"/>
          <w:numId w:val="3"/>
        </w:numPr>
        <w:spacing w:after="0" w:afterAutospacing="0" w:before="240" w:line="26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NVIDIA CUDA Toolkit</w:t>
      </w:r>
    </w:p>
    <w:p w:rsidR="00000000" w:rsidDel="00000000" w:rsidP="00000000" w:rsidRDefault="00000000" w:rsidRPr="00000000" w14:paraId="00000064">
      <w:pPr>
        <w:numPr>
          <w:ilvl w:val="0"/>
          <w:numId w:val="3"/>
        </w:numPr>
        <w:spacing w:after="0" w:afterAutospacing="0" w:before="0" w:beforeAutospacing="0" w:line="26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NVIDIA Drivers</w:t>
      </w:r>
    </w:p>
    <w:p w:rsidR="00000000" w:rsidDel="00000000" w:rsidP="00000000" w:rsidRDefault="00000000" w:rsidRPr="00000000" w14:paraId="00000065">
      <w:pPr>
        <w:numPr>
          <w:ilvl w:val="0"/>
          <w:numId w:val="3"/>
        </w:numPr>
        <w:spacing w:after="0" w:afterAutospacing="0" w:before="0" w:beforeAutospacing="0" w:line="26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Virtual Environment (venv)</w:t>
      </w:r>
    </w:p>
    <w:p w:rsidR="00000000" w:rsidDel="00000000" w:rsidP="00000000" w:rsidRDefault="00000000" w:rsidRPr="00000000" w14:paraId="00000066">
      <w:pPr>
        <w:numPr>
          <w:ilvl w:val="0"/>
          <w:numId w:val="3"/>
        </w:numPr>
        <w:spacing w:after="240" w:before="0" w:beforeAutospacing="0" w:line="26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Jupyter Notebook (for experimentation and model development)</w:t>
      </w:r>
    </w:p>
    <w:p w:rsidR="00000000" w:rsidDel="00000000" w:rsidP="00000000" w:rsidRDefault="00000000" w:rsidRPr="00000000" w14:paraId="00000067">
      <w:pPr>
        <w:pStyle w:val="Heading4"/>
        <w:keepNext w:val="0"/>
        <w:keepLines w:val="0"/>
        <w:spacing w:line="265" w:lineRule="auto"/>
        <w:ind w:left="1245" w:firstLine="0"/>
        <w:jc w:val="both"/>
        <w:rPr>
          <w:rFonts w:ascii="Times New Roman" w:cs="Times New Roman" w:eastAsia="Times New Roman" w:hAnsi="Times New Roman"/>
          <w:sz w:val="22"/>
          <w:szCs w:val="22"/>
        </w:rPr>
      </w:pPr>
      <w:bookmarkStart w:colFirst="0" w:colLast="0" w:name="_heading=h.rj7a8iwym6ib" w:id="3"/>
      <w:bookmarkEnd w:id="3"/>
      <w:r w:rsidDel="00000000" w:rsidR="00000000" w:rsidRPr="00000000">
        <w:rPr>
          <w:rFonts w:ascii="Times New Roman" w:cs="Times New Roman" w:eastAsia="Times New Roman" w:hAnsi="Times New Roman"/>
          <w:sz w:val="22"/>
          <w:szCs w:val="22"/>
          <w:rtl w:val="0"/>
        </w:rPr>
        <w:t xml:space="preserve">Target Deployment Environment:</w:t>
      </w:r>
    </w:p>
    <w:p w:rsidR="00000000" w:rsidDel="00000000" w:rsidP="00000000" w:rsidRDefault="00000000" w:rsidRPr="00000000" w14:paraId="00000068">
      <w:pPr>
        <w:numPr>
          <w:ilvl w:val="0"/>
          <w:numId w:val="6"/>
        </w:numPr>
        <w:spacing w:after="0" w:afterAutospacing="0" w:before="240" w:line="26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Workstation with NVIDIA GPU</w:t>
      </w:r>
    </w:p>
    <w:p w:rsidR="00000000" w:rsidDel="00000000" w:rsidP="00000000" w:rsidRDefault="00000000" w:rsidRPr="00000000" w14:paraId="00000069">
      <w:pPr>
        <w:numPr>
          <w:ilvl w:val="0"/>
          <w:numId w:val="6"/>
        </w:numPr>
        <w:spacing w:after="240" w:before="0" w:beforeAutospacing="0" w:line="26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On-Premise GPU Server or Cloud-Based GPU Instance (Future Scope)</w:t>
      </w:r>
      <w:r w:rsidDel="00000000" w:rsidR="00000000" w:rsidRPr="00000000">
        <w:rPr>
          <w:rtl w:val="0"/>
        </w:rPr>
      </w:r>
    </w:p>
    <w:p w:rsidR="00000000" w:rsidDel="00000000" w:rsidP="00000000" w:rsidRDefault="00000000" w:rsidRPr="00000000" w14:paraId="0000006A">
      <w:pPr>
        <w:spacing w:after="240" w:before="240" w:line="265"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240" w:before="240" w:line="265" w:lineRule="auto"/>
        <w:ind w:left="0" w:firstLine="0"/>
        <w:rPr/>
      </w:pPr>
      <w:r w:rsidDel="00000000" w:rsidR="00000000" w:rsidRPr="00000000">
        <w:rPr>
          <w:b w:val="1"/>
          <w:bCs w:val="1"/>
          <w:sz w:val="24"/>
          <w:szCs w:val="24"/>
          <w:rtl w:val="0"/>
        </w:rPr>
        <w:t xml:space="preserve">References (IEEE Format)</w:t>
      </w:r>
      <w:r w:rsidDel="00000000" w:rsidR="00000000" w:rsidRPr="00000000">
        <w:rPr>
          <w:rtl w:val="0"/>
        </w:rPr>
        <w:t xml:space="preserve">:</w:t>
      </w:r>
    </w:p>
    <w:p w:rsidR="00000000" w:rsidDel="00000000" w:rsidP="00000000" w:rsidRDefault="00000000" w:rsidRPr="00000000" w14:paraId="0000006C">
      <w:pPr>
        <w:spacing w:after="240" w:before="240" w:line="265" w:lineRule="auto"/>
        <w:ind w:left="0" w:firstLine="0"/>
        <w:rPr/>
      </w:pPr>
      <w:r w:rsidDel="00000000" w:rsidR="00000000" w:rsidRPr="00000000">
        <w:rPr>
          <w:rtl w:val="0"/>
        </w:rPr>
        <w:t xml:space="preserve">[1] Z. Liu </w:t>
      </w:r>
      <w:r w:rsidDel="00000000" w:rsidR="00000000" w:rsidRPr="00000000">
        <w:rPr>
          <w:i w:val="1"/>
          <w:iCs w:val="1"/>
          <w:rtl w:val="0"/>
        </w:rPr>
        <w:t xml:space="preserve">et al</w:t>
      </w:r>
      <w:r w:rsidDel="00000000" w:rsidR="00000000" w:rsidRPr="00000000">
        <w:rPr>
          <w:rtl w:val="0"/>
        </w:rPr>
        <w:t xml:space="preserve">., “Interpretable Analysis of Production GPU Clusters Monitoring with Large-scale Telemetry,” in </w:t>
      </w:r>
      <w:r w:rsidDel="00000000" w:rsidR="00000000" w:rsidRPr="00000000">
        <w:rPr>
          <w:i w:val="1"/>
          <w:iCs w:val="1"/>
          <w:rtl w:val="0"/>
        </w:rPr>
        <w:t xml:space="preserve">Proceedings of the IEEE/ACM International Conference on High Performance Computing, Networking, Storage and Analysis (SC)</w:t>
      </w:r>
      <w:r w:rsidDel="00000000" w:rsidR="00000000" w:rsidRPr="00000000">
        <w:rPr>
          <w:rtl w:val="0"/>
        </w:rPr>
        <w:t xml:space="preserve">, 2024.</w:t>
      </w:r>
    </w:p>
    <w:p w:rsidR="00000000" w:rsidDel="00000000" w:rsidP="00000000" w:rsidRDefault="00000000" w:rsidRPr="00000000" w14:paraId="0000006D">
      <w:pPr>
        <w:spacing w:after="240" w:before="240" w:line="265" w:lineRule="auto"/>
        <w:ind w:left="0" w:firstLine="0"/>
        <w:rPr/>
      </w:pPr>
      <w:r w:rsidDel="00000000" w:rsidR="00000000" w:rsidRPr="00000000">
        <w:rPr>
          <w:rtl w:val="0"/>
        </w:rPr>
        <w:t xml:space="preserve">[2] M. A. Ahmed, A. S. Ahmed, and A. M. Mohamed, “Deep Learning for Anomaly Detection in Time-Series Data: Review, Analysis, and Guidelines,” </w:t>
      </w:r>
      <w:r w:rsidDel="00000000" w:rsidR="00000000" w:rsidRPr="00000000">
        <w:rPr>
          <w:i w:val="1"/>
          <w:iCs w:val="1"/>
          <w:rtl w:val="0"/>
        </w:rPr>
        <w:t xml:space="preserve">IEEE Access</w:t>
      </w:r>
      <w:r w:rsidDel="00000000" w:rsidR="00000000" w:rsidRPr="00000000">
        <w:rPr>
          <w:rtl w:val="0"/>
        </w:rPr>
        <w:t xml:space="preserve">, vol. 9, pp. 132114–132141, 2021.</w:t>
      </w:r>
    </w:p>
    <w:p w:rsidR="00000000" w:rsidDel="00000000" w:rsidP="00000000" w:rsidRDefault="00000000" w:rsidRPr="00000000" w14:paraId="0000006E">
      <w:pPr>
        <w:spacing w:after="240" w:before="240" w:line="265" w:lineRule="auto"/>
        <w:ind w:left="0" w:firstLine="0"/>
        <w:rPr/>
      </w:pPr>
      <w:r w:rsidDel="00000000" w:rsidR="00000000" w:rsidRPr="00000000">
        <w:rPr>
          <w:rtl w:val="0"/>
        </w:rPr>
        <w:t xml:space="preserve">[3] A. B. M. Moniruzzaman </w:t>
      </w:r>
      <w:r w:rsidDel="00000000" w:rsidR="00000000" w:rsidRPr="00000000">
        <w:rPr>
          <w:i w:val="1"/>
          <w:iCs w:val="1"/>
          <w:rtl w:val="0"/>
        </w:rPr>
        <w:t xml:space="preserve">et al</w:t>
      </w:r>
      <w:r w:rsidDel="00000000" w:rsidR="00000000" w:rsidRPr="00000000">
        <w:rPr>
          <w:rtl w:val="0"/>
        </w:rPr>
        <w:t xml:space="preserve">., “Utilizing AIOps for Predictive Maintenance in Hybrid Cloud Environments,” in </w:t>
      </w:r>
      <w:r w:rsidDel="00000000" w:rsidR="00000000" w:rsidRPr="00000000">
        <w:rPr>
          <w:i w:val="1"/>
          <w:iCs w:val="1"/>
          <w:rtl w:val="0"/>
        </w:rPr>
        <w:t xml:space="preserve">Proceedings of the 2023 IEEE International Conference on Cloud Computing Technology and Science (CloudCom)</w:t>
      </w:r>
      <w:r w:rsidDel="00000000" w:rsidR="00000000" w:rsidRPr="00000000">
        <w:rPr>
          <w:rtl w:val="0"/>
        </w:rPr>
        <w:t xml:space="preserve">, 2023.</w:t>
      </w:r>
    </w:p>
    <w:p w:rsidR="00000000" w:rsidDel="00000000" w:rsidP="00000000" w:rsidRDefault="00000000" w:rsidRPr="00000000" w14:paraId="0000006F">
      <w:pPr>
        <w:keepNext w:val="1"/>
        <w:keepLines w:val="1"/>
        <w:spacing w:after="0" w:before="240" w:line="240" w:lineRule="auto"/>
        <w:jc w:val="both"/>
        <w:rPr/>
      </w:pPr>
      <w:r w:rsidDel="00000000" w:rsidR="00000000" w:rsidRPr="00000000">
        <w:rPr>
          <w:rtl w:val="0"/>
        </w:rPr>
        <w:t xml:space="preserve">[4] J. Zhang </w:t>
      </w:r>
      <w:r w:rsidDel="00000000" w:rsidR="00000000" w:rsidRPr="00000000">
        <w:rPr>
          <w:i w:val="1"/>
          <w:iCs w:val="1"/>
          <w:rtl w:val="0"/>
        </w:rPr>
        <w:t xml:space="preserve">et al</w:t>
      </w:r>
      <w:r w:rsidDel="00000000" w:rsidR="00000000" w:rsidRPr="00000000">
        <w:rPr>
          <w:rtl w:val="0"/>
        </w:rPr>
        <w:t xml:space="preserve">., “Time Series Anomaly Detection for Trustworthy Services in Cloud Computing Systems,” </w:t>
      </w:r>
      <w:r w:rsidDel="00000000" w:rsidR="00000000" w:rsidRPr="00000000">
        <w:rPr>
          <w:i w:val="1"/>
          <w:iCs w:val="1"/>
          <w:rtl w:val="0"/>
        </w:rPr>
        <w:t xml:space="preserve">IEEE Transactions on Big Data</w:t>
      </w:r>
      <w:r w:rsidDel="00000000" w:rsidR="00000000" w:rsidRPr="00000000">
        <w:rPr>
          <w:rtl w:val="0"/>
        </w:rPr>
        <w:t xml:space="preserve">, vol. 8, no. 1, pp. 60–72, 2022.</w:t>
      </w:r>
    </w:p>
    <w:p w:rsidR="00000000" w:rsidDel="00000000" w:rsidP="00000000" w:rsidRDefault="00000000" w:rsidRPr="00000000" w14:paraId="00000070">
      <w:pPr>
        <w:keepNext w:val="1"/>
        <w:keepLines w:val="1"/>
        <w:spacing w:after="240" w:before="240" w:line="240" w:lineRule="auto"/>
        <w:jc w:val="both"/>
        <w:rPr/>
      </w:pPr>
      <w:r w:rsidDel="00000000" w:rsidR="00000000" w:rsidRPr="00000000">
        <w:rPr>
          <w:rtl w:val="0"/>
        </w:rPr>
        <w:t xml:space="preserve">[5] J. F. Gomes, F. C. Santos, and E. C. Ferreira, “Explainable Artificial Intelligence for Predictive Maintenance Applications,” </w:t>
      </w:r>
      <w:r w:rsidDel="00000000" w:rsidR="00000000" w:rsidRPr="00000000">
        <w:rPr>
          <w:i w:val="1"/>
          <w:iCs w:val="1"/>
          <w:rtl w:val="0"/>
        </w:rPr>
        <w:t xml:space="preserve">IEEE Access</w:t>
      </w:r>
      <w:r w:rsidDel="00000000" w:rsidR="00000000" w:rsidRPr="00000000">
        <w:rPr>
          <w:rtl w:val="0"/>
        </w:rPr>
        <w:t xml:space="preserve">, vol. 8, pp. 188171–188182, 2020.</w:t>
      </w:r>
    </w:p>
    <w:p w:rsidR="00000000" w:rsidDel="00000000" w:rsidP="00000000" w:rsidRDefault="00000000" w:rsidRPr="00000000" w14:paraId="00000071">
      <w:pPr>
        <w:keepNext w:val="1"/>
        <w:keepLines w:val="1"/>
        <w:spacing w:after="240" w:before="240" w:line="240" w:lineRule="auto"/>
        <w:jc w:val="both"/>
        <w:rPr>
          <w:color w:val="1155cc"/>
          <w:u w:val="single"/>
        </w:rPr>
      </w:pPr>
      <w:r w:rsidDel="00000000" w:rsidR="00000000" w:rsidRPr="00000000">
        <w:rPr>
          <w:rtl w:val="0"/>
        </w:rPr>
        <w:t xml:space="preserve">[6] NVIDIA Corporation, “NVIDIA Data Center GPU Manager (DCGM) Documentation,” 2026. [Online]. Available: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https://docs.nvidia.com/datacenter/dcgm/latest/</w:t>
        </w:r>
      </w:hyperlink>
      <w:r w:rsidDel="00000000" w:rsidR="00000000" w:rsidRPr="00000000">
        <w:rPr>
          <w:rtl w:val="0"/>
        </w:rPr>
      </w:r>
    </w:p>
    <w:p w:rsidR="00000000" w:rsidDel="00000000" w:rsidP="00000000" w:rsidRDefault="00000000" w:rsidRPr="00000000" w14:paraId="00000072">
      <w:pPr>
        <w:keepNext w:val="1"/>
        <w:keepLines w:val="1"/>
        <w:spacing w:after="240" w:before="240" w:line="240" w:lineRule="auto"/>
        <w:jc w:val="both"/>
        <w:rPr>
          <w:color w:val="1155cc"/>
          <w:u w:val="single"/>
        </w:rPr>
      </w:pPr>
      <w:r w:rsidDel="00000000" w:rsidR="00000000" w:rsidRPr="00000000">
        <w:rPr>
          <w:rtl w:val="0"/>
        </w:rPr>
        <w:t xml:space="preserve">[7] NVIDIA Corporation, “NVIDIA Management Library (NVML) API Reference.” [Online]. Available: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https://developer.nvidia.com/management-library-nvml</w:t>
        </w:r>
      </w:hyperlink>
      <w:r w:rsidDel="00000000" w:rsidR="00000000" w:rsidRPr="00000000">
        <w:rPr>
          <w:rtl w:val="0"/>
        </w:rPr>
      </w:r>
    </w:p>
    <w:p w:rsidR="00000000" w:rsidDel="00000000" w:rsidP="00000000" w:rsidRDefault="00000000" w:rsidRPr="00000000" w14:paraId="00000073">
      <w:pPr>
        <w:keepNext w:val="1"/>
        <w:keepLines w:val="1"/>
        <w:spacing w:after="240" w:before="240" w:line="240" w:lineRule="auto"/>
        <w:jc w:val="both"/>
        <w:rPr>
          <w:color w:val="1155cc"/>
          <w:u w:val="single"/>
        </w:rPr>
      </w:pPr>
      <w:r w:rsidDel="00000000" w:rsidR="00000000" w:rsidRPr="00000000">
        <w:rPr>
          <w:rtl w:val="0"/>
        </w:rPr>
        <w:t xml:space="preserve">[8] NVIDIA Corporation, “CUDA Toolkit Documentation.” [Online]. Available: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https://docs.nvidia.com/cuda/</w:t>
        </w:r>
      </w:hyperlink>
      <w:r w:rsidDel="00000000" w:rsidR="00000000" w:rsidRPr="00000000">
        <w:rPr>
          <w:rtl w:val="0"/>
        </w:rPr>
      </w:r>
    </w:p>
    <w:p w:rsidR="00000000" w:rsidDel="00000000" w:rsidP="00000000" w:rsidRDefault="00000000" w:rsidRPr="00000000" w14:paraId="00000074">
      <w:pPr>
        <w:spacing w:after="549" w:line="240" w:lineRule="auto"/>
        <w:ind w:left="0" w:firstLine="0"/>
        <w:jc w:val="both"/>
        <w:rPr/>
      </w:pPr>
      <w:r w:rsidDel="00000000" w:rsidR="00000000" w:rsidRPr="00000000">
        <w:rPr>
          <w:rtl w:val="0"/>
        </w:rPr>
      </w:r>
    </w:p>
    <w:sectPr>
      <w:footerReference r:id="rId15" w:type="default"/>
      <w:pgSz w:h="16840" w:w="11920" w:orient="portrait"/>
      <w:pgMar w:bottom="1440" w:top="900" w:left="1170" w:right="7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245" w:hanging="1245"/>
      </w:pPr>
      <w:rPr>
        <w:rFonts w:ascii="Times New Roman" w:cs="Times New Roman" w:eastAsia="Times New Roman" w:hAnsi="Times New Roman"/>
        <w:b w:val="1"/>
        <w:bCs w:val="1"/>
        <w:i w:val="0"/>
        <w:iCs w:val="0"/>
        <w:strike w:val="0"/>
        <w:color w:val="000000"/>
        <w:sz w:val="34"/>
        <w:szCs w:val="34"/>
        <w:u w:val="none"/>
        <w:shd w:fill="auto" w:val="clear"/>
        <w:vertAlign w:val="baseline"/>
      </w:rPr>
    </w:lvl>
    <w:lvl w:ilvl="1">
      <w:start w:val="1"/>
      <w:numFmt w:val="lowerLetter"/>
      <w:lvlText w:val="%2"/>
      <w:lvlJc w:val="left"/>
      <w:pPr>
        <w:ind w:left="1307" w:hanging="1307"/>
      </w:pPr>
      <w:rPr>
        <w:rFonts w:ascii="Times New Roman" w:cs="Times New Roman" w:eastAsia="Times New Roman" w:hAnsi="Times New Roman"/>
        <w:b w:val="1"/>
        <w:bCs w:val="1"/>
        <w:i w:val="0"/>
        <w:iCs w:val="0"/>
        <w:strike w:val="0"/>
        <w:color w:val="000000"/>
        <w:sz w:val="34"/>
        <w:szCs w:val="34"/>
        <w:u w:val="none"/>
        <w:shd w:fill="auto" w:val="clear"/>
        <w:vertAlign w:val="baseline"/>
      </w:rPr>
    </w:lvl>
    <w:lvl w:ilvl="2">
      <w:start w:val="1"/>
      <w:numFmt w:val="lowerRoman"/>
      <w:lvlText w:val="%3"/>
      <w:lvlJc w:val="left"/>
      <w:pPr>
        <w:ind w:left="2027" w:hanging="2027"/>
      </w:pPr>
      <w:rPr>
        <w:rFonts w:ascii="Times New Roman" w:cs="Times New Roman" w:eastAsia="Times New Roman" w:hAnsi="Times New Roman"/>
        <w:b w:val="1"/>
        <w:bCs w:val="1"/>
        <w:i w:val="0"/>
        <w:iCs w:val="0"/>
        <w:strike w:val="0"/>
        <w:color w:val="000000"/>
        <w:sz w:val="34"/>
        <w:szCs w:val="34"/>
        <w:u w:val="none"/>
        <w:shd w:fill="auto" w:val="clear"/>
        <w:vertAlign w:val="baseline"/>
      </w:rPr>
    </w:lvl>
    <w:lvl w:ilvl="3">
      <w:start w:val="1"/>
      <w:numFmt w:val="decimal"/>
      <w:lvlText w:val="%4"/>
      <w:lvlJc w:val="left"/>
      <w:pPr>
        <w:ind w:left="2747" w:hanging="2747"/>
      </w:pPr>
      <w:rPr>
        <w:rFonts w:ascii="Times New Roman" w:cs="Times New Roman" w:eastAsia="Times New Roman" w:hAnsi="Times New Roman"/>
        <w:b w:val="1"/>
        <w:bCs w:val="1"/>
        <w:i w:val="0"/>
        <w:iCs w:val="0"/>
        <w:strike w:val="0"/>
        <w:color w:val="000000"/>
        <w:sz w:val="34"/>
        <w:szCs w:val="34"/>
        <w:u w:val="none"/>
        <w:shd w:fill="auto" w:val="clear"/>
        <w:vertAlign w:val="baseline"/>
      </w:rPr>
    </w:lvl>
    <w:lvl w:ilvl="4">
      <w:start w:val="1"/>
      <w:numFmt w:val="lowerLetter"/>
      <w:lvlText w:val="%5"/>
      <w:lvlJc w:val="left"/>
      <w:pPr>
        <w:ind w:left="3467" w:hanging="3467"/>
      </w:pPr>
      <w:rPr>
        <w:rFonts w:ascii="Times New Roman" w:cs="Times New Roman" w:eastAsia="Times New Roman" w:hAnsi="Times New Roman"/>
        <w:b w:val="1"/>
        <w:bCs w:val="1"/>
        <w:i w:val="0"/>
        <w:iCs w:val="0"/>
        <w:strike w:val="0"/>
        <w:color w:val="000000"/>
        <w:sz w:val="34"/>
        <w:szCs w:val="34"/>
        <w:u w:val="none"/>
        <w:shd w:fill="auto" w:val="clear"/>
        <w:vertAlign w:val="baseline"/>
      </w:rPr>
    </w:lvl>
    <w:lvl w:ilvl="5">
      <w:start w:val="1"/>
      <w:numFmt w:val="lowerRoman"/>
      <w:lvlText w:val="%6"/>
      <w:lvlJc w:val="left"/>
      <w:pPr>
        <w:ind w:left="4187" w:hanging="4187"/>
      </w:pPr>
      <w:rPr>
        <w:rFonts w:ascii="Times New Roman" w:cs="Times New Roman" w:eastAsia="Times New Roman" w:hAnsi="Times New Roman"/>
        <w:b w:val="1"/>
        <w:bCs w:val="1"/>
        <w:i w:val="0"/>
        <w:iCs w:val="0"/>
        <w:strike w:val="0"/>
        <w:color w:val="000000"/>
        <w:sz w:val="34"/>
        <w:szCs w:val="34"/>
        <w:u w:val="none"/>
        <w:shd w:fill="auto" w:val="clear"/>
        <w:vertAlign w:val="baseline"/>
      </w:rPr>
    </w:lvl>
    <w:lvl w:ilvl="6">
      <w:start w:val="1"/>
      <w:numFmt w:val="decimal"/>
      <w:lvlText w:val="%7"/>
      <w:lvlJc w:val="left"/>
      <w:pPr>
        <w:ind w:left="4907" w:hanging="4907"/>
      </w:pPr>
      <w:rPr>
        <w:rFonts w:ascii="Times New Roman" w:cs="Times New Roman" w:eastAsia="Times New Roman" w:hAnsi="Times New Roman"/>
        <w:b w:val="1"/>
        <w:bCs w:val="1"/>
        <w:i w:val="0"/>
        <w:iCs w:val="0"/>
        <w:strike w:val="0"/>
        <w:color w:val="000000"/>
        <w:sz w:val="34"/>
        <w:szCs w:val="34"/>
        <w:u w:val="none"/>
        <w:shd w:fill="auto" w:val="clear"/>
        <w:vertAlign w:val="baseline"/>
      </w:rPr>
    </w:lvl>
    <w:lvl w:ilvl="7">
      <w:start w:val="1"/>
      <w:numFmt w:val="lowerLetter"/>
      <w:lvlText w:val="%8"/>
      <w:lvlJc w:val="left"/>
      <w:pPr>
        <w:ind w:left="5627" w:hanging="5627"/>
      </w:pPr>
      <w:rPr>
        <w:rFonts w:ascii="Times New Roman" w:cs="Times New Roman" w:eastAsia="Times New Roman" w:hAnsi="Times New Roman"/>
        <w:b w:val="1"/>
        <w:bCs w:val="1"/>
        <w:i w:val="0"/>
        <w:iCs w:val="0"/>
        <w:strike w:val="0"/>
        <w:color w:val="000000"/>
        <w:sz w:val="34"/>
        <w:szCs w:val="34"/>
        <w:u w:val="none"/>
        <w:shd w:fill="auto" w:val="clear"/>
        <w:vertAlign w:val="baseline"/>
      </w:rPr>
    </w:lvl>
    <w:lvl w:ilvl="8">
      <w:start w:val="1"/>
      <w:numFmt w:val="lowerRoman"/>
      <w:lvlText w:val="%9"/>
      <w:lvlJc w:val="left"/>
      <w:pPr>
        <w:ind w:left="6347" w:hanging="6347"/>
      </w:pPr>
      <w:rPr>
        <w:rFonts w:ascii="Times New Roman" w:cs="Times New Roman" w:eastAsia="Times New Roman" w:hAnsi="Times New Roman"/>
        <w:b w:val="1"/>
        <w:bCs w:val="1"/>
        <w:i w:val="0"/>
        <w:iCs w:val="0"/>
        <w:strike w:val="0"/>
        <w:color w:val="000000"/>
        <w:sz w:val="34"/>
        <w:szCs w:val="34"/>
        <w:u w:val="none"/>
        <w:shd w:fill="auto" w:val="clear"/>
        <w:vertAlign w:val="baseli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 w:before="0" w:line="259" w:lineRule="auto"/>
      <w:ind w:left="405" w:right="0" w:hanging="405"/>
      <w:jc w:val="center"/>
    </w:pPr>
    <w:rPr>
      <w:rFonts w:ascii="Calibri" w:cs="Calibri" w:eastAsia="Calibri" w:hAnsi="Calibri"/>
      <w:b w:val="1"/>
      <w:bCs w:val="1"/>
      <w:i w:val="0"/>
      <w:iCs w:val="0"/>
      <w:smallCaps w:val="0"/>
      <w:strike w:val="0"/>
      <w:color w:val="000000"/>
      <w:sz w:val="29"/>
      <w:szCs w:val="29"/>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64.0" w:type="dxa"/>
        <w:left w:w="100.0" w:type="dxa"/>
        <w:bottom w:w="0.0" w:type="dxa"/>
        <w:right w:w="115.0" w:type="dxa"/>
      </w:tblCellMar>
    </w:tblPr>
  </w:style>
  <w:style w:type="table" w:styleId="Table2">
    <w:basedOn w:val="TableNormal"/>
    <w:pPr>
      <w:spacing w:after="0" w:line="240" w:lineRule="auto"/>
    </w:pPr>
    <w:tblPr>
      <w:tblStyleRowBandSize w:val="1"/>
      <w:tblStyleColBandSize w:val="1"/>
      <w:tblCellMar>
        <w:top w:w="111.0" w:type="dxa"/>
        <w:left w:w="110.0" w:type="dxa"/>
        <w:bottom w:w="16.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eveloper.nvidia.com/management-library-nvml" TargetMode="External"/><Relationship Id="rId10" Type="http://schemas.openxmlformats.org/officeDocument/2006/relationships/hyperlink" Target="https://docs.nvidia.com/datacenter/dcgm/latest/" TargetMode="External"/><Relationship Id="rId13" Type="http://schemas.openxmlformats.org/officeDocument/2006/relationships/hyperlink" Target="https://docs.nvidia.com/cuda/" TargetMode="External"/><Relationship Id="rId12" Type="http://schemas.openxmlformats.org/officeDocument/2006/relationships/hyperlink" Target="https://developer.nvidia.com/management-library-nv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nvidia.com/datacenter/dcgm/latest/" TargetMode="External"/><Relationship Id="rId15" Type="http://schemas.openxmlformats.org/officeDocument/2006/relationships/footer" Target="footer1.xml"/><Relationship Id="rId14" Type="http://schemas.openxmlformats.org/officeDocument/2006/relationships/hyperlink" Target="https://docs.nvidia.com/cud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FYScJ3mW8oi9gLljY68GW2ywug==">CgMxLjAaJQoBMBIgCh4IB0IaCg9UaW1lcyBOZXcgUm9tYW4SB0d1bmdzdWgaJQoBMRIgCh4IB0IaCg9UaW1lcyBOZXcgUm9tYW4SB0d1bmdzdWgaJQoBMhIgCh4IB0IaCg9UaW1lcyBOZXcgUm9tYW4SB0d1bmdzdWgaJQoBMxIgCh4IB0IaCg9UaW1lcyBOZXcgUm9tYW4SB0d1bmdzdWgyDmguMmE3NjBtaXdkMmZpMg5oLnN1NXZ3eDUzbWs4djIOaC42ZHRrcWo5aTRnMGwyDmgucmo3YThpd3ltNmliOAByITFpc2Q0Q0YtNDZxQkJiVlVEN25OWXpBM1FhMndxWGww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