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CONTROLLED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Document Register &amp; Launch Readiness Checklist</w:t>
      </w:r>
    </w:p>
    <w:p>
      <w:pPr>
        <w:jc w:val="center"/>
      </w:pPr>
      <w:r>
        <w:rPr>
          <w:color w:val="6B7280"/>
          <w:sz w:val="24"/>
        </w:rPr>
        <w:t>Master index for product, engineering, legal, privacy, store and operational readiness</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Controlled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p>
      <w:pPr>
        <w:pStyle w:val="Heading1"/>
        <w:keepNext/>
      </w:pPr>
      <w:r>
        <w:t>1. Purpose</w:t>
      </w:r>
    </w:p>
    <w:p>
      <w:r>
        <w:t>This document is the control register for the Nod launch pack. It identifies what must be completed, approved, published or retained internally before Nod moves from prototype to public Google Play release.</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Launch principle</w:t>
              <w:br/>
            </w:r>
            <w:r>
              <w:t>Do not treat “app builds successfully” as launch readiness. Nod must simultaneously satisfy product acceptance, security, privacy, IP ownership, store-policy, support and operational requirements.</w:t>
            </w:r>
          </w:p>
        </w:tc>
      </w:tr>
    </w:tbl>
    <w:p>
      <w:pPr>
        <w:pStyle w:val="Heading1"/>
        <w:keepNext/>
      </w:pPr>
      <w:r>
        <w:t>2. Controlled document register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1717"/>
          </w:tcPr>
          <w:p>
            <w:r>
              <w:rPr>
                <w:b/>
                <w:color w:val="FFFFFF"/>
                <w:sz w:val="17"/>
              </w:rPr>
              <w:t>ID</w:t>
            </w:r>
          </w:p>
        </w:tc>
        <w:tc>
          <w:tcPr>
            <w:tcW w:type="dxa" w:w="2498"/>
            <w:shd w:fill="171717"/>
          </w:tcPr>
          <w:p>
            <w:r>
              <w:rPr>
                <w:b/>
                <w:color w:val="FFFFFF"/>
                <w:sz w:val="17"/>
              </w:rPr>
              <w:t>Document</w:t>
            </w:r>
          </w:p>
        </w:tc>
        <w:tc>
          <w:tcPr>
            <w:tcW w:type="dxa" w:w="2498"/>
            <w:shd w:fill="171717"/>
          </w:tcPr>
          <w:p>
            <w:r>
              <w:rPr>
                <w:b/>
                <w:color w:val="FFFFFF"/>
                <w:sz w:val="17"/>
              </w:rPr>
              <w:t>Audience</w:t>
            </w:r>
          </w:p>
        </w:tc>
        <w:tc>
          <w:tcPr>
            <w:tcW w:type="dxa" w:w="2498"/>
            <w:shd w:fill="171717"/>
          </w:tcPr>
          <w:p>
            <w:r>
              <w:rPr>
                <w:b/>
                <w:color w:val="FFFFFF"/>
                <w:sz w:val="17"/>
              </w:rPr>
              <w:t>Gate</w:t>
            </w:r>
          </w:p>
        </w:tc>
      </w:tr>
      <w:tr>
        <w:tc>
          <w:tcPr>
            <w:tcW w:type="dxa" w:w="2498"/>
          </w:tcPr>
          <w:p>
            <w:pPr>
              <w:spacing w:after="0"/>
            </w:pPr>
            <w:r>
              <w:rPr>
                <w:sz w:val="17"/>
              </w:rPr>
              <w:t>00</w:t>
            </w:r>
          </w:p>
        </w:tc>
        <w:tc>
          <w:tcPr>
            <w:tcW w:type="dxa" w:w="2498"/>
          </w:tcPr>
          <w:p>
            <w:pPr>
              <w:spacing w:after="0"/>
            </w:pPr>
            <w:r>
              <w:rPr>
                <w:sz w:val="17"/>
              </w:rPr>
              <w:t>Document Register &amp; Launch Checklist</w:t>
            </w:r>
          </w:p>
        </w:tc>
        <w:tc>
          <w:tcPr>
            <w:tcW w:type="dxa" w:w="2498"/>
          </w:tcPr>
          <w:p>
            <w:pPr>
              <w:spacing w:after="0"/>
            </w:pPr>
            <w:r>
              <w:rPr>
                <w:sz w:val="17"/>
              </w:rPr>
              <w:t>Internal</w:t>
            </w:r>
          </w:p>
        </w:tc>
        <w:tc>
          <w:tcPr>
            <w:tcW w:type="dxa" w:w="2498"/>
          </w:tcPr>
          <w:p>
            <w:pPr>
              <w:spacing w:after="0"/>
            </w:pPr>
            <w:r>
              <w:rPr>
                <w:sz w:val="17"/>
              </w:rPr>
              <w:t>Required before release</w:t>
            </w:r>
          </w:p>
        </w:tc>
      </w:tr>
      <w:tr>
        <w:tc>
          <w:tcPr>
            <w:tcW w:type="dxa" w:w="2498"/>
            <w:shd w:fill="FAFAFA"/>
          </w:tcPr>
          <w:p>
            <w:pPr>
              <w:spacing w:after="0"/>
            </w:pPr>
            <w:r>
              <w:rPr>
                <w:sz w:val="17"/>
              </w:rPr>
              <w:t>01</w:t>
            </w:r>
          </w:p>
        </w:tc>
        <w:tc>
          <w:tcPr>
            <w:tcW w:type="dxa" w:w="2498"/>
            <w:shd w:fill="FAFAFA"/>
          </w:tcPr>
          <w:p>
            <w:pPr>
              <w:spacing w:after="0"/>
            </w:pPr>
            <w:r>
              <w:rPr>
                <w:sz w:val="17"/>
              </w:rPr>
              <w:t>Product Requirements Document</w:t>
            </w:r>
          </w:p>
        </w:tc>
        <w:tc>
          <w:tcPr>
            <w:tcW w:type="dxa" w:w="2498"/>
            <w:shd w:fill="FAFAFA"/>
          </w:tcPr>
          <w:p>
            <w:pPr>
              <w:spacing w:after="0"/>
            </w:pPr>
            <w:r>
              <w:rPr>
                <w:sz w:val="17"/>
              </w:rPr>
              <w:t>Internal</w:t>
            </w:r>
          </w:p>
        </w:tc>
        <w:tc>
          <w:tcPr>
            <w:tcW w:type="dxa" w:w="2498"/>
            <w:shd w:fill="FAFAFA"/>
          </w:tcPr>
          <w:p>
            <w:pPr>
              <w:spacing w:after="0"/>
            </w:pPr>
            <w:r>
              <w:rPr>
                <w:sz w:val="17"/>
              </w:rPr>
              <w:t>Required before coding freeze</w:t>
            </w:r>
          </w:p>
        </w:tc>
      </w:tr>
      <w:tr>
        <w:tc>
          <w:tcPr>
            <w:tcW w:type="dxa" w:w="2498"/>
          </w:tcPr>
          <w:p>
            <w:pPr>
              <w:spacing w:after="0"/>
            </w:pPr>
            <w:r>
              <w:rPr>
                <w:sz w:val="17"/>
              </w:rPr>
              <w:t>02</w:t>
            </w:r>
          </w:p>
        </w:tc>
        <w:tc>
          <w:tcPr>
            <w:tcW w:type="dxa" w:w="2498"/>
          </w:tcPr>
          <w:p>
            <w:pPr>
              <w:spacing w:after="0"/>
            </w:pPr>
            <w:r>
              <w:rPr>
                <w:sz w:val="17"/>
              </w:rPr>
              <w:t>Functional, Non-Functional &amp; Acceptance Requirements</w:t>
            </w:r>
          </w:p>
        </w:tc>
        <w:tc>
          <w:tcPr>
            <w:tcW w:type="dxa" w:w="2498"/>
          </w:tcPr>
          <w:p>
            <w:pPr>
              <w:spacing w:after="0"/>
            </w:pPr>
            <w:r>
              <w:rPr>
                <w:sz w:val="17"/>
              </w:rPr>
              <w:t>Internal</w:t>
            </w:r>
          </w:p>
        </w:tc>
        <w:tc>
          <w:tcPr>
            <w:tcW w:type="dxa" w:w="2498"/>
          </w:tcPr>
          <w:p>
            <w:pPr>
              <w:spacing w:after="0"/>
            </w:pPr>
            <w:r>
              <w:rPr>
                <w:sz w:val="17"/>
              </w:rPr>
              <w:t>Required before QA</w:t>
            </w:r>
          </w:p>
        </w:tc>
      </w:tr>
      <w:tr>
        <w:tc>
          <w:tcPr>
            <w:tcW w:type="dxa" w:w="2498"/>
            <w:shd w:fill="FAFAFA"/>
          </w:tcPr>
          <w:p>
            <w:pPr>
              <w:spacing w:after="0"/>
            </w:pPr>
            <w:r>
              <w:rPr>
                <w:sz w:val="17"/>
              </w:rPr>
              <w:t>03</w:t>
            </w:r>
          </w:p>
        </w:tc>
        <w:tc>
          <w:tcPr>
            <w:tcW w:type="dxa" w:w="2498"/>
            <w:shd w:fill="FAFAFA"/>
          </w:tcPr>
          <w:p>
            <w:pPr>
              <w:spacing w:after="0"/>
            </w:pPr>
            <w:r>
              <w:rPr>
                <w:sz w:val="17"/>
              </w:rPr>
              <w:t>System Architecture &amp; Technology Specification</w:t>
            </w:r>
          </w:p>
        </w:tc>
        <w:tc>
          <w:tcPr>
            <w:tcW w:type="dxa" w:w="2498"/>
            <w:shd w:fill="FAFAFA"/>
          </w:tcPr>
          <w:p>
            <w:pPr>
              <w:spacing w:after="0"/>
            </w:pPr>
            <w:r>
              <w:rPr>
                <w:sz w:val="17"/>
              </w:rPr>
              <w:t>Internal</w:t>
            </w:r>
          </w:p>
        </w:tc>
        <w:tc>
          <w:tcPr>
            <w:tcW w:type="dxa" w:w="2498"/>
            <w:shd w:fill="FAFAFA"/>
          </w:tcPr>
          <w:p>
            <w:pPr>
              <w:spacing w:after="0"/>
            </w:pPr>
            <w:r>
              <w:rPr>
                <w:sz w:val="17"/>
              </w:rPr>
              <w:t>Required before production coding</w:t>
            </w:r>
          </w:p>
        </w:tc>
      </w:tr>
      <w:tr>
        <w:tc>
          <w:tcPr>
            <w:tcW w:type="dxa" w:w="2498"/>
          </w:tcPr>
          <w:p>
            <w:pPr>
              <w:spacing w:after="0"/>
            </w:pPr>
            <w:r>
              <w:rPr>
                <w:sz w:val="17"/>
              </w:rPr>
              <w:t>04</w:t>
            </w:r>
          </w:p>
        </w:tc>
        <w:tc>
          <w:tcPr>
            <w:tcW w:type="dxa" w:w="2498"/>
          </w:tcPr>
          <w:p>
            <w:pPr>
              <w:spacing w:after="0"/>
            </w:pPr>
            <w:r>
              <w:rPr>
                <w:sz w:val="17"/>
              </w:rPr>
              <w:t>P2P Protocol &amp; Data Model Specification</w:t>
            </w:r>
          </w:p>
        </w:tc>
        <w:tc>
          <w:tcPr>
            <w:tcW w:type="dxa" w:w="2498"/>
          </w:tcPr>
          <w:p>
            <w:pPr>
              <w:spacing w:after="0"/>
            </w:pPr>
            <w:r>
              <w:rPr>
                <w:sz w:val="17"/>
              </w:rPr>
              <w:t>Internal</w:t>
            </w:r>
          </w:p>
        </w:tc>
        <w:tc>
          <w:tcPr>
            <w:tcW w:type="dxa" w:w="2498"/>
          </w:tcPr>
          <w:p>
            <w:pPr>
              <w:spacing w:after="0"/>
            </w:pPr>
            <w:r>
              <w:rPr>
                <w:sz w:val="17"/>
              </w:rPr>
              <w:t>Required before interoperability testing</w:t>
            </w:r>
          </w:p>
        </w:tc>
      </w:tr>
      <w:tr>
        <w:tc>
          <w:tcPr>
            <w:tcW w:type="dxa" w:w="2498"/>
            <w:shd w:fill="FAFAFA"/>
          </w:tcPr>
          <w:p>
            <w:pPr>
              <w:spacing w:after="0"/>
            </w:pPr>
            <w:r>
              <w:rPr>
                <w:sz w:val="17"/>
              </w:rPr>
              <w:t>05</w:t>
            </w:r>
          </w:p>
        </w:tc>
        <w:tc>
          <w:tcPr>
            <w:tcW w:type="dxa" w:w="2498"/>
            <w:shd w:fill="FAFAFA"/>
          </w:tcPr>
          <w:p>
            <w:pPr>
              <w:spacing w:after="0"/>
            </w:pPr>
            <w:r>
              <w:rPr>
                <w:sz w:val="17"/>
              </w:rPr>
              <w:t>Security, Threat Model &amp; Cryptography Specification</w:t>
            </w:r>
          </w:p>
        </w:tc>
        <w:tc>
          <w:tcPr>
            <w:tcW w:type="dxa" w:w="2498"/>
            <w:shd w:fill="FAFAFA"/>
          </w:tcPr>
          <w:p>
            <w:pPr>
              <w:spacing w:after="0"/>
            </w:pPr>
            <w:r>
              <w:rPr>
                <w:sz w:val="17"/>
              </w:rPr>
              <w:t>Internal</w:t>
            </w:r>
          </w:p>
        </w:tc>
        <w:tc>
          <w:tcPr>
            <w:tcW w:type="dxa" w:w="2498"/>
            <w:shd w:fill="FAFAFA"/>
          </w:tcPr>
          <w:p>
            <w:pPr>
              <w:spacing w:after="0"/>
            </w:pPr>
            <w:r>
              <w:rPr>
                <w:sz w:val="17"/>
              </w:rPr>
              <w:t>Required before beta</w:t>
            </w:r>
          </w:p>
        </w:tc>
      </w:tr>
      <w:tr>
        <w:tc>
          <w:tcPr>
            <w:tcW w:type="dxa" w:w="2498"/>
          </w:tcPr>
          <w:p>
            <w:pPr>
              <w:spacing w:after="0"/>
            </w:pPr>
            <w:r>
              <w:rPr>
                <w:sz w:val="17"/>
              </w:rPr>
              <w:t>06</w:t>
            </w:r>
          </w:p>
        </w:tc>
        <w:tc>
          <w:tcPr>
            <w:tcW w:type="dxa" w:w="2498"/>
          </w:tcPr>
          <w:p>
            <w:pPr>
              <w:spacing w:after="0"/>
            </w:pPr>
            <w:r>
              <w:rPr>
                <w:sz w:val="17"/>
              </w:rPr>
              <w:t>Privacy, DPIA, Data Governance &amp; Retention</w:t>
            </w:r>
          </w:p>
        </w:tc>
        <w:tc>
          <w:tcPr>
            <w:tcW w:type="dxa" w:w="2498"/>
          </w:tcPr>
          <w:p>
            <w:pPr>
              <w:spacing w:after="0"/>
            </w:pPr>
            <w:r>
              <w:rPr>
                <w:sz w:val="17"/>
              </w:rPr>
              <w:t>Internal / regulatory evidence</w:t>
            </w:r>
          </w:p>
        </w:tc>
        <w:tc>
          <w:tcPr>
            <w:tcW w:type="dxa" w:w="2498"/>
          </w:tcPr>
          <w:p>
            <w:pPr>
              <w:spacing w:after="0"/>
            </w:pPr>
            <w:r>
              <w:rPr>
                <w:sz w:val="17"/>
              </w:rPr>
              <w:t>Required before beta</w:t>
            </w:r>
          </w:p>
        </w:tc>
      </w:tr>
      <w:tr>
        <w:tc>
          <w:tcPr>
            <w:tcW w:type="dxa" w:w="2498"/>
            <w:shd w:fill="FAFAFA"/>
          </w:tcPr>
          <w:p>
            <w:pPr>
              <w:spacing w:after="0"/>
            </w:pPr>
            <w:r>
              <w:rPr>
                <w:sz w:val="17"/>
              </w:rPr>
              <w:t>07</w:t>
            </w:r>
          </w:p>
        </w:tc>
        <w:tc>
          <w:tcPr>
            <w:tcW w:type="dxa" w:w="2498"/>
            <w:shd w:fill="FAFAFA"/>
          </w:tcPr>
          <w:p>
            <w:pPr>
              <w:spacing w:after="0"/>
            </w:pPr>
            <w:r>
              <w:rPr>
                <w:sz w:val="17"/>
              </w:rPr>
              <w:t>Permissions, Background Services &amp; Android Compliance</w:t>
            </w:r>
          </w:p>
        </w:tc>
        <w:tc>
          <w:tcPr>
            <w:tcW w:type="dxa" w:w="2498"/>
            <w:shd w:fill="FAFAFA"/>
          </w:tcPr>
          <w:p>
            <w:pPr>
              <w:spacing w:after="0"/>
            </w:pPr>
            <w:r>
              <w:rPr>
                <w:sz w:val="17"/>
              </w:rPr>
              <w:t>Internal / Play evidence</w:t>
            </w:r>
          </w:p>
        </w:tc>
        <w:tc>
          <w:tcPr>
            <w:tcW w:type="dxa" w:w="2498"/>
            <w:shd w:fill="FAFAFA"/>
          </w:tcPr>
          <w:p>
            <w:pPr>
              <w:spacing w:after="0"/>
            </w:pPr>
            <w:r>
              <w:rPr>
                <w:sz w:val="17"/>
              </w:rPr>
              <w:t>Required before Play review</w:t>
            </w:r>
          </w:p>
        </w:tc>
      </w:tr>
      <w:tr>
        <w:tc>
          <w:tcPr>
            <w:tcW w:type="dxa" w:w="2498"/>
          </w:tcPr>
          <w:p>
            <w:pPr>
              <w:spacing w:after="0"/>
            </w:pPr>
            <w:r>
              <w:rPr>
                <w:sz w:val="17"/>
              </w:rPr>
              <w:t>08</w:t>
            </w:r>
          </w:p>
        </w:tc>
        <w:tc>
          <w:tcPr>
            <w:tcW w:type="dxa" w:w="2498"/>
          </w:tcPr>
          <w:p>
            <w:pPr>
              <w:spacing w:after="0"/>
            </w:pPr>
            <w:r>
              <w:rPr>
                <w:sz w:val="17"/>
              </w:rPr>
              <w:t>UI/UX Design System, Accessibility &amp; Content</w:t>
            </w:r>
          </w:p>
        </w:tc>
        <w:tc>
          <w:tcPr>
            <w:tcW w:type="dxa" w:w="2498"/>
          </w:tcPr>
          <w:p>
            <w:pPr>
              <w:spacing w:after="0"/>
            </w:pPr>
            <w:r>
              <w:rPr>
                <w:sz w:val="17"/>
              </w:rPr>
              <w:t>Internal</w:t>
            </w:r>
          </w:p>
        </w:tc>
        <w:tc>
          <w:tcPr>
            <w:tcW w:type="dxa" w:w="2498"/>
          </w:tcPr>
          <w:p>
            <w:pPr>
              <w:spacing w:after="0"/>
            </w:pPr>
            <w:r>
              <w:rPr>
                <w:sz w:val="17"/>
              </w:rPr>
              <w:t>Required before UI freeze</w:t>
            </w:r>
          </w:p>
        </w:tc>
      </w:tr>
      <w:tr>
        <w:tc>
          <w:tcPr>
            <w:tcW w:type="dxa" w:w="2498"/>
            <w:shd w:fill="FAFAFA"/>
          </w:tcPr>
          <w:p>
            <w:pPr>
              <w:spacing w:after="0"/>
            </w:pPr>
            <w:r>
              <w:rPr>
                <w:sz w:val="17"/>
              </w:rPr>
              <w:t>09</w:t>
            </w:r>
          </w:p>
        </w:tc>
        <w:tc>
          <w:tcPr>
            <w:tcW w:type="dxa" w:w="2498"/>
            <w:shd w:fill="FAFAFA"/>
          </w:tcPr>
          <w:p>
            <w:pPr>
              <w:spacing w:after="0"/>
            </w:pPr>
            <w:r>
              <w:rPr>
                <w:sz w:val="17"/>
              </w:rPr>
              <w:t>QA, Device Matrix, Release &amp; Signing Plan</w:t>
            </w:r>
          </w:p>
        </w:tc>
        <w:tc>
          <w:tcPr>
            <w:tcW w:type="dxa" w:w="2498"/>
            <w:shd w:fill="FAFAFA"/>
          </w:tcPr>
          <w:p>
            <w:pPr>
              <w:spacing w:after="0"/>
            </w:pPr>
            <w:r>
              <w:rPr>
                <w:sz w:val="17"/>
              </w:rPr>
              <w:t>Internal</w:t>
            </w:r>
          </w:p>
        </w:tc>
        <w:tc>
          <w:tcPr>
            <w:tcW w:type="dxa" w:w="2498"/>
            <w:shd w:fill="FAFAFA"/>
          </w:tcPr>
          <w:p>
            <w:pPr>
              <w:spacing w:after="0"/>
            </w:pPr>
            <w:r>
              <w:rPr>
                <w:sz w:val="17"/>
              </w:rPr>
              <w:t>Required before release candidate</w:t>
            </w:r>
          </w:p>
        </w:tc>
      </w:tr>
      <w:tr>
        <w:tc>
          <w:tcPr>
            <w:tcW w:type="dxa" w:w="2498"/>
          </w:tcPr>
          <w:p>
            <w:pPr>
              <w:spacing w:after="0"/>
            </w:pPr>
            <w:r>
              <w:rPr>
                <w:sz w:val="17"/>
              </w:rPr>
              <w:t>10</w:t>
            </w:r>
          </w:p>
        </w:tc>
        <w:tc>
          <w:tcPr>
            <w:tcW w:type="dxa" w:w="2498"/>
          </w:tcPr>
          <w:p>
            <w:pPr>
              <w:spacing w:after="0"/>
            </w:pPr>
            <w:r>
              <w:rPr>
                <w:sz w:val="17"/>
              </w:rPr>
              <w:t>Privacy Policy</w:t>
            </w:r>
          </w:p>
        </w:tc>
        <w:tc>
          <w:tcPr>
            <w:tcW w:type="dxa" w:w="2498"/>
          </w:tcPr>
          <w:p>
            <w:pPr>
              <w:spacing w:after="0"/>
            </w:pPr>
            <w:r>
              <w:rPr>
                <w:sz w:val="17"/>
              </w:rPr>
              <w:t>Public</w:t>
            </w:r>
          </w:p>
        </w:tc>
        <w:tc>
          <w:tcPr>
            <w:tcW w:type="dxa" w:w="2498"/>
          </w:tcPr>
          <w:p>
            <w:pPr>
              <w:spacing w:after="0"/>
            </w:pPr>
            <w:r>
              <w:rPr>
                <w:sz w:val="17"/>
              </w:rPr>
              <w:t>Required for Play listing and in-app</w:t>
            </w:r>
          </w:p>
        </w:tc>
      </w:tr>
      <w:tr>
        <w:tc>
          <w:tcPr>
            <w:tcW w:type="dxa" w:w="2498"/>
            <w:shd w:fill="FAFAFA"/>
          </w:tcPr>
          <w:p>
            <w:pPr>
              <w:spacing w:after="0"/>
            </w:pPr>
            <w:r>
              <w:rPr>
                <w:sz w:val="17"/>
              </w:rPr>
              <w:t>11</w:t>
            </w:r>
          </w:p>
        </w:tc>
        <w:tc>
          <w:tcPr>
            <w:tcW w:type="dxa" w:w="2498"/>
            <w:shd w:fill="FAFAFA"/>
          </w:tcPr>
          <w:p>
            <w:pPr>
              <w:spacing w:after="0"/>
            </w:pPr>
            <w:r>
              <w:rPr>
                <w:sz w:val="17"/>
              </w:rPr>
              <w:t>Terms of Use, EULA &amp; Acceptable Use</w:t>
            </w:r>
          </w:p>
        </w:tc>
        <w:tc>
          <w:tcPr>
            <w:tcW w:type="dxa" w:w="2498"/>
            <w:shd w:fill="FAFAFA"/>
          </w:tcPr>
          <w:p>
            <w:pPr>
              <w:spacing w:after="0"/>
            </w:pPr>
            <w:r>
              <w:rPr>
                <w:sz w:val="17"/>
              </w:rPr>
              <w:t>Public / contractual</w:t>
            </w:r>
          </w:p>
        </w:tc>
        <w:tc>
          <w:tcPr>
            <w:tcW w:type="dxa" w:w="2498"/>
            <w:shd w:fill="FAFAFA"/>
          </w:tcPr>
          <w:p>
            <w:pPr>
              <w:spacing w:after="0"/>
            </w:pPr>
            <w:r>
              <w:rPr>
                <w:sz w:val="17"/>
              </w:rPr>
              <w:t>Required before public release</w:t>
            </w:r>
          </w:p>
        </w:tc>
      </w:tr>
      <w:tr>
        <w:tc>
          <w:tcPr>
            <w:tcW w:type="dxa" w:w="2498"/>
          </w:tcPr>
          <w:p>
            <w:pPr>
              <w:spacing w:after="0"/>
            </w:pPr>
            <w:r>
              <w:rPr>
                <w:sz w:val="17"/>
              </w:rPr>
              <w:t>12</w:t>
            </w:r>
          </w:p>
        </w:tc>
        <w:tc>
          <w:tcPr>
            <w:tcW w:type="dxa" w:w="2498"/>
          </w:tcPr>
          <w:p>
            <w:pPr>
              <w:spacing w:after="0"/>
            </w:pPr>
            <w:r>
              <w:rPr>
                <w:sz w:val="17"/>
              </w:rPr>
              <w:t>IP, Copyright, Trademark &amp; Open-Source Policy</w:t>
            </w:r>
          </w:p>
        </w:tc>
        <w:tc>
          <w:tcPr>
            <w:tcW w:type="dxa" w:w="2498"/>
          </w:tcPr>
          <w:p>
            <w:pPr>
              <w:spacing w:after="0"/>
            </w:pPr>
            <w:r>
              <w:rPr>
                <w:sz w:val="17"/>
              </w:rPr>
              <w:t>Internal + public notices</w:t>
            </w:r>
          </w:p>
        </w:tc>
        <w:tc>
          <w:tcPr>
            <w:tcW w:type="dxa" w:w="2498"/>
          </w:tcPr>
          <w:p>
            <w:pPr>
              <w:spacing w:after="0"/>
            </w:pPr>
            <w:r>
              <w:rPr>
                <w:sz w:val="17"/>
              </w:rPr>
              <w:t>Required before public release</w:t>
            </w:r>
          </w:p>
        </w:tc>
      </w:tr>
      <w:tr>
        <w:tc>
          <w:tcPr>
            <w:tcW w:type="dxa" w:w="2498"/>
            <w:shd w:fill="FAFAFA"/>
          </w:tcPr>
          <w:p>
            <w:pPr>
              <w:spacing w:after="0"/>
            </w:pPr>
            <w:r>
              <w:rPr>
                <w:sz w:val="17"/>
              </w:rPr>
              <w:t>13</w:t>
            </w:r>
          </w:p>
        </w:tc>
        <w:tc>
          <w:tcPr>
            <w:tcW w:type="dxa" w:w="2498"/>
            <w:shd w:fill="FAFAFA"/>
          </w:tcPr>
          <w:p>
            <w:pPr>
              <w:spacing w:after="0"/>
            </w:pPr>
            <w:r>
              <w:rPr>
                <w:sz w:val="17"/>
              </w:rPr>
              <w:t>Developer/Contractor IP Assignment &amp; NDA Template</w:t>
            </w:r>
          </w:p>
        </w:tc>
        <w:tc>
          <w:tcPr>
            <w:tcW w:type="dxa" w:w="2498"/>
            <w:shd w:fill="FAFAFA"/>
          </w:tcPr>
          <w:p>
            <w:pPr>
              <w:spacing w:after="0"/>
            </w:pPr>
            <w:r>
              <w:rPr>
                <w:sz w:val="17"/>
              </w:rPr>
              <w:t>Contractual</w:t>
            </w:r>
          </w:p>
        </w:tc>
        <w:tc>
          <w:tcPr>
            <w:tcW w:type="dxa" w:w="2498"/>
            <w:shd w:fill="FAFAFA"/>
          </w:tcPr>
          <w:p>
            <w:pPr>
              <w:spacing w:after="0"/>
            </w:pPr>
            <w:r>
              <w:rPr>
                <w:sz w:val="17"/>
              </w:rPr>
              <w:t>Use before outside contribution</w:t>
            </w:r>
          </w:p>
        </w:tc>
      </w:tr>
      <w:tr>
        <w:tc>
          <w:tcPr>
            <w:tcW w:type="dxa" w:w="2498"/>
          </w:tcPr>
          <w:p>
            <w:pPr>
              <w:spacing w:after="0"/>
            </w:pPr>
            <w:r>
              <w:rPr>
                <w:sz w:val="17"/>
              </w:rPr>
              <w:t>14</w:t>
            </w:r>
          </w:p>
        </w:tc>
        <w:tc>
          <w:tcPr>
            <w:tcW w:type="dxa" w:w="2498"/>
          </w:tcPr>
          <w:p>
            <w:pPr>
              <w:spacing w:after="0"/>
            </w:pPr>
            <w:r>
              <w:rPr>
                <w:sz w:val="17"/>
              </w:rPr>
              <w:t>Google Play Data Safety, Listing &amp; Compliance Workbook</w:t>
            </w:r>
          </w:p>
        </w:tc>
        <w:tc>
          <w:tcPr>
            <w:tcW w:type="dxa" w:w="2498"/>
          </w:tcPr>
          <w:p>
            <w:pPr>
              <w:spacing w:after="0"/>
            </w:pPr>
            <w:r>
              <w:rPr>
                <w:sz w:val="17"/>
              </w:rPr>
              <w:t>Internal / submission</w:t>
            </w:r>
          </w:p>
        </w:tc>
        <w:tc>
          <w:tcPr>
            <w:tcW w:type="dxa" w:w="2498"/>
          </w:tcPr>
          <w:p>
            <w:pPr>
              <w:spacing w:after="0"/>
            </w:pPr>
            <w:r>
              <w:rPr>
                <w:sz w:val="17"/>
              </w:rPr>
              <w:t>Required before Play submission</w:t>
            </w:r>
          </w:p>
        </w:tc>
      </w:tr>
      <w:tr>
        <w:tc>
          <w:tcPr>
            <w:tcW w:type="dxa" w:w="2498"/>
            <w:shd w:fill="FAFAFA"/>
          </w:tcPr>
          <w:p>
            <w:pPr>
              <w:spacing w:after="0"/>
            </w:pPr>
            <w:r>
              <w:rPr>
                <w:sz w:val="17"/>
              </w:rPr>
              <w:t>15</w:t>
            </w:r>
          </w:p>
        </w:tc>
        <w:tc>
          <w:tcPr>
            <w:tcW w:type="dxa" w:w="2498"/>
            <w:shd w:fill="FAFAFA"/>
          </w:tcPr>
          <w:p>
            <w:pPr>
              <w:spacing w:after="0"/>
            </w:pPr>
            <w:r>
              <w:rPr>
                <w:sz w:val="17"/>
              </w:rPr>
              <w:t>Security Incident Response, Vulnerability Disclosure &amp; Support</w:t>
            </w:r>
          </w:p>
        </w:tc>
        <w:tc>
          <w:tcPr>
            <w:tcW w:type="dxa" w:w="2498"/>
            <w:shd w:fill="FAFAFA"/>
          </w:tcPr>
          <w:p>
            <w:pPr>
              <w:spacing w:after="0"/>
            </w:pPr>
            <w:r>
              <w:rPr>
                <w:sz w:val="17"/>
              </w:rPr>
              <w:t>Internal + public VDP</w:t>
            </w:r>
          </w:p>
        </w:tc>
        <w:tc>
          <w:tcPr>
            <w:tcW w:type="dxa" w:w="2498"/>
            <w:shd w:fill="FAFAFA"/>
          </w:tcPr>
          <w:p>
            <w:pPr>
              <w:spacing w:after="0"/>
            </w:pPr>
            <w:r>
              <w:rPr>
                <w:sz w:val="17"/>
              </w:rPr>
              <w:t>Required before public release</w:t>
            </w:r>
          </w:p>
        </w:tc>
      </w:tr>
      <w:tr>
        <w:tc>
          <w:tcPr>
            <w:tcW w:type="dxa" w:w="2498"/>
          </w:tcPr>
          <w:p>
            <w:pPr>
              <w:spacing w:after="0"/>
            </w:pPr>
            <w:r>
              <w:rPr>
                <w:sz w:val="17"/>
              </w:rPr>
              <w:t>16</w:t>
            </w:r>
          </w:p>
        </w:tc>
        <w:tc>
          <w:tcPr>
            <w:tcW w:type="dxa" w:w="2498"/>
          </w:tcPr>
          <w:p>
            <w:pPr>
              <w:spacing w:after="0"/>
            </w:pPr>
            <w:r>
              <w:rPr>
                <w:sz w:val="17"/>
              </w:rPr>
              <w:t>Change Management, Maintenance &amp; End-of-Life Policy</w:t>
            </w:r>
          </w:p>
        </w:tc>
        <w:tc>
          <w:tcPr>
            <w:tcW w:type="dxa" w:w="2498"/>
          </w:tcPr>
          <w:p>
            <w:pPr>
              <w:spacing w:after="0"/>
            </w:pPr>
            <w:r>
              <w:rPr>
                <w:sz w:val="17"/>
              </w:rPr>
              <w:t>Internal / public where relevant</w:t>
            </w:r>
          </w:p>
        </w:tc>
        <w:tc>
          <w:tcPr>
            <w:tcW w:type="dxa" w:w="2498"/>
          </w:tcPr>
          <w:p>
            <w:pPr>
              <w:spacing w:after="0"/>
            </w:pPr>
            <w:r>
              <w:rPr>
                <w:sz w:val="17"/>
              </w:rPr>
              <w:t>Required before sustained operations</w:t>
            </w:r>
          </w:p>
        </w:tc>
      </w:tr>
    </w:tbl>
    <w:p>
      <w:pPr>
        <w:pStyle w:val="Heading1"/>
        <w:keepNext/>
      </w:pPr>
      <w:r>
        <w:t>3. Mandatory owner/operator information to complete</w:t>
      </w:r>
    </w:p>
    <w:p>
      <w:pPr>
        <w:pStyle w:val="ListBullet"/>
      </w:pPr>
      <w:r>
        <w:t>Legal owner/operator name and corporate status.</w:t>
      </w:r>
    </w:p>
    <w:p>
      <w:pPr>
        <w:pStyle w:val="ListBullet"/>
      </w:pPr>
      <w:r>
        <w:t>Registered business address and country of establishment.</w:t>
      </w:r>
    </w:p>
    <w:p>
      <w:pPr>
        <w:pStyle w:val="ListBullet"/>
      </w:pPr>
      <w:r>
        <w:t>Support email and privacy/DPO contact.</w:t>
      </w:r>
    </w:p>
    <w:p>
      <w:pPr>
        <w:pStyle w:val="ListBullet"/>
      </w:pPr>
      <w:r>
        <w:t>Public website domain and permanent privacy-policy URL.</w:t>
      </w:r>
    </w:p>
    <w:p>
      <w:pPr>
        <w:pStyle w:val="ListBullet"/>
      </w:pPr>
      <w:r>
        <w:t>Google Play developer account legal identity and verified contact details.</w:t>
      </w:r>
    </w:p>
    <w:p>
      <w:pPr>
        <w:pStyle w:val="ListBullet"/>
      </w:pPr>
      <w:r>
        <w:t>Copyright owner name and, if applicable, company registration number.</w:t>
      </w:r>
    </w:p>
    <w:p>
      <w:pPr>
        <w:pStyle w:val="ListBullet"/>
      </w:pPr>
      <w:r>
        <w:t>Trademark applicant/owner details for the Nod name and locked logo.</w:t>
      </w:r>
    </w:p>
    <w:p>
      <w:pPr>
        <w:pStyle w:val="ListBullet"/>
      </w:pPr>
      <w:r>
        <w:t>Named security incident lead and escalation contact.</w:t>
      </w:r>
    </w:p>
    <w:p>
      <w:pPr>
        <w:pStyle w:val="Heading1"/>
        <w:keepNext/>
      </w:pPr>
      <w:r>
        <w:t>4. Pre-release gate checklist</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Domain</w:t>
            </w:r>
          </w:p>
        </w:tc>
        <w:tc>
          <w:tcPr>
            <w:tcW w:type="dxa" w:w="4997"/>
            <w:shd w:fill="171717"/>
          </w:tcPr>
          <w:p>
            <w:r>
              <w:rPr>
                <w:b/>
                <w:color w:val="FFFFFF"/>
                <w:sz w:val="17"/>
              </w:rPr>
              <w:t>Release criterion</w:t>
            </w:r>
          </w:p>
        </w:tc>
      </w:tr>
      <w:tr>
        <w:tc>
          <w:tcPr>
            <w:tcW w:type="dxa" w:w="4997"/>
          </w:tcPr>
          <w:p>
            <w:pPr>
              <w:spacing w:after="0"/>
            </w:pPr>
            <w:r>
              <w:rPr>
                <w:sz w:val="17"/>
              </w:rPr>
              <w:t>Corporate / ownership</w:t>
            </w:r>
          </w:p>
        </w:tc>
        <w:tc>
          <w:tcPr>
            <w:tcW w:type="dxa" w:w="4997"/>
          </w:tcPr>
          <w:p>
            <w:pPr>
              <w:spacing w:after="0"/>
            </w:pPr>
            <w:r>
              <w:rPr>
                <w:sz w:val="17"/>
              </w:rPr>
              <w:t>Operator identity fixed; contributor IP assignments executed; copyright ownership chain documented.</w:t>
            </w:r>
          </w:p>
        </w:tc>
      </w:tr>
      <w:tr>
        <w:tc>
          <w:tcPr>
            <w:tcW w:type="dxa" w:w="4997"/>
            <w:shd w:fill="FAFAFA"/>
          </w:tcPr>
          <w:p>
            <w:pPr>
              <w:spacing w:after="0"/>
            </w:pPr>
            <w:r>
              <w:rPr>
                <w:sz w:val="17"/>
              </w:rPr>
              <w:t>Brand / IP</w:t>
            </w:r>
          </w:p>
        </w:tc>
        <w:tc>
          <w:tcPr>
            <w:tcW w:type="dxa" w:w="4997"/>
            <w:shd w:fill="FAFAFA"/>
          </w:tcPr>
          <w:p>
            <w:pPr>
              <w:spacing w:after="0"/>
            </w:pPr>
            <w:r>
              <w:rPr>
                <w:sz w:val="17"/>
              </w:rPr>
              <w:t>Nod logo locked; name/logo clearance performed; trademark filing decision recorded; NCC copyright notification decision recorded.</w:t>
            </w:r>
          </w:p>
        </w:tc>
      </w:tr>
      <w:tr>
        <w:tc>
          <w:tcPr>
            <w:tcW w:type="dxa" w:w="4997"/>
          </w:tcPr>
          <w:p>
            <w:pPr>
              <w:spacing w:after="0"/>
            </w:pPr>
            <w:r>
              <w:rPr>
                <w:sz w:val="17"/>
              </w:rPr>
              <w:t>Product</w:t>
            </w:r>
          </w:p>
        </w:tc>
        <w:tc>
          <w:tcPr>
            <w:tcW w:type="dxa" w:w="4997"/>
          </w:tcPr>
          <w:p>
            <w:pPr>
              <w:spacing w:after="0"/>
            </w:pPr>
            <w:r>
              <w:rPr>
                <w:sz w:val="17"/>
              </w:rPr>
              <w:t>PRD scope frozen; v1 exclusions confirmed; acceptance criteria signed off.</w:t>
            </w:r>
          </w:p>
        </w:tc>
      </w:tr>
      <w:tr>
        <w:tc>
          <w:tcPr>
            <w:tcW w:type="dxa" w:w="4997"/>
            <w:shd w:fill="FAFAFA"/>
          </w:tcPr>
          <w:p>
            <w:pPr>
              <w:spacing w:after="0"/>
            </w:pPr>
            <w:r>
              <w:rPr>
                <w:sz w:val="17"/>
              </w:rPr>
              <w:t>Transport</w:t>
            </w:r>
          </w:p>
        </w:tc>
        <w:tc>
          <w:tcPr>
            <w:tcW w:type="dxa" w:w="4997"/>
            <w:shd w:fill="FAFAFA"/>
          </w:tcPr>
          <w:p>
            <w:pPr>
              <w:spacing w:after="0"/>
            </w:pPr>
            <w:r>
              <w:rPr>
                <w:sz w:val="17"/>
              </w:rPr>
              <w:t>Two-phone PoC passed; Nearby transport verified; non-GMS strategy documented.</w:t>
            </w:r>
          </w:p>
        </w:tc>
      </w:tr>
      <w:tr>
        <w:tc>
          <w:tcPr>
            <w:tcW w:type="dxa" w:w="4997"/>
          </w:tcPr>
          <w:p>
            <w:pPr>
              <w:spacing w:after="0"/>
            </w:pPr>
            <w:r>
              <w:rPr>
                <w:sz w:val="17"/>
              </w:rPr>
              <w:t>Security</w:t>
            </w:r>
          </w:p>
        </w:tc>
        <w:tc>
          <w:tcPr>
            <w:tcW w:type="dxa" w:w="4997"/>
          </w:tcPr>
          <w:p>
            <w:pPr>
              <w:spacing w:after="0"/>
            </w:pPr>
            <w:r>
              <w:rPr>
                <w:sz w:val="17"/>
              </w:rPr>
              <w:t>Pair verification, encrypted sessions, integrity hashes, blocklist, temp-file cleanup and abuse controls tested.</w:t>
            </w:r>
          </w:p>
        </w:tc>
      </w:tr>
      <w:tr>
        <w:tc>
          <w:tcPr>
            <w:tcW w:type="dxa" w:w="4997"/>
            <w:shd w:fill="FAFAFA"/>
          </w:tcPr>
          <w:p>
            <w:pPr>
              <w:spacing w:after="0"/>
            </w:pPr>
            <w:r>
              <w:rPr>
                <w:sz w:val="17"/>
              </w:rPr>
              <w:t>Privacy</w:t>
            </w:r>
          </w:p>
        </w:tc>
        <w:tc>
          <w:tcPr>
            <w:tcW w:type="dxa" w:w="4997"/>
            <w:shd w:fill="FAFAFA"/>
          </w:tcPr>
          <w:p>
            <w:pPr>
              <w:spacing w:after="0"/>
            </w:pPr>
            <w:r>
              <w:rPr>
                <w:sz w:val="17"/>
              </w:rPr>
              <w:t>DPIA approved; profile/data inventory mapped; cloud backup exclusions verified; no undisclosed analytics/SDKs.</w:t>
            </w:r>
          </w:p>
        </w:tc>
      </w:tr>
      <w:tr>
        <w:tc>
          <w:tcPr>
            <w:tcW w:type="dxa" w:w="4997"/>
          </w:tcPr>
          <w:p>
            <w:pPr>
              <w:spacing w:after="0"/>
            </w:pPr>
            <w:r>
              <w:rPr>
                <w:sz w:val="17"/>
              </w:rPr>
              <w:t>Android</w:t>
            </w:r>
          </w:p>
        </w:tc>
        <w:tc>
          <w:tcPr>
            <w:tcW w:type="dxa" w:w="4997"/>
          </w:tcPr>
          <w:p>
            <w:pPr>
              <w:spacing w:after="0"/>
            </w:pPr>
            <w:r>
              <w:rPr>
                <w:sz w:val="17"/>
              </w:rPr>
              <w:t>minSdk/targetSdk set; permissions justified; foreground service declaration and demonstration prepared.</w:t>
            </w:r>
          </w:p>
        </w:tc>
      </w:tr>
      <w:tr>
        <w:tc>
          <w:tcPr>
            <w:tcW w:type="dxa" w:w="4997"/>
            <w:shd w:fill="FAFAFA"/>
          </w:tcPr>
          <w:p>
            <w:pPr>
              <w:spacing w:after="0"/>
            </w:pPr>
            <w:r>
              <w:rPr>
                <w:sz w:val="17"/>
              </w:rPr>
              <w:t>Store</w:t>
            </w:r>
          </w:p>
        </w:tc>
        <w:tc>
          <w:tcPr>
            <w:tcW w:type="dxa" w:w="4997"/>
            <w:shd w:fill="FAFAFA"/>
          </w:tcPr>
          <w:p>
            <w:pPr>
              <w:spacing w:after="0"/>
            </w:pPr>
            <w:r>
              <w:rPr>
                <w:sz w:val="17"/>
              </w:rPr>
              <w:t>Privacy URL active; Data Safety answers match code; content rating complete; app-access information supplied if needed.</w:t>
            </w:r>
          </w:p>
        </w:tc>
      </w:tr>
      <w:tr>
        <w:tc>
          <w:tcPr>
            <w:tcW w:type="dxa" w:w="4997"/>
          </w:tcPr>
          <w:p>
            <w:pPr>
              <w:spacing w:after="0"/>
            </w:pPr>
            <w:r>
              <w:rPr>
                <w:sz w:val="17"/>
              </w:rPr>
              <w:t>QA</w:t>
            </w:r>
          </w:p>
        </w:tc>
        <w:tc>
          <w:tcPr>
            <w:tcW w:type="dxa" w:w="4997"/>
          </w:tcPr>
          <w:p>
            <w:pPr>
              <w:spacing w:after="0"/>
            </w:pPr>
            <w:r>
              <w:rPr>
                <w:sz w:val="17"/>
              </w:rPr>
              <w:t>Device matrix passed; interruption/low storage/cancel/lock-screen cases passed; accessibility checks passed.</w:t>
            </w:r>
          </w:p>
        </w:tc>
      </w:tr>
      <w:tr>
        <w:tc>
          <w:tcPr>
            <w:tcW w:type="dxa" w:w="4997"/>
            <w:shd w:fill="FAFAFA"/>
          </w:tcPr>
          <w:p>
            <w:pPr>
              <w:spacing w:after="0"/>
            </w:pPr>
            <w:r>
              <w:rPr>
                <w:sz w:val="17"/>
              </w:rPr>
              <w:t>Release</w:t>
            </w:r>
          </w:p>
        </w:tc>
        <w:tc>
          <w:tcPr>
            <w:tcW w:type="dxa" w:w="4997"/>
            <w:shd w:fill="FAFAFA"/>
          </w:tcPr>
          <w:p>
            <w:pPr>
              <w:spacing w:after="0"/>
            </w:pPr>
            <w:r>
              <w:rPr>
                <w:sz w:val="17"/>
              </w:rPr>
              <w:t>Play App Signing configured; upload/release keys secured; rollback and staged rollout plan ready.</w:t>
            </w:r>
          </w:p>
        </w:tc>
      </w:tr>
      <w:tr>
        <w:tc>
          <w:tcPr>
            <w:tcW w:type="dxa" w:w="4997"/>
          </w:tcPr>
          <w:p>
            <w:pPr>
              <w:spacing w:after="0"/>
            </w:pPr>
            <w:r>
              <w:rPr>
                <w:sz w:val="17"/>
              </w:rPr>
              <w:t>Support</w:t>
            </w:r>
          </w:p>
        </w:tc>
        <w:tc>
          <w:tcPr>
            <w:tcW w:type="dxa" w:w="4997"/>
          </w:tcPr>
          <w:p>
            <w:pPr>
              <w:spacing w:after="0"/>
            </w:pPr>
            <w:r>
              <w:rPr>
                <w:sz w:val="17"/>
              </w:rPr>
              <w:t>Public support channel active; vulnerability disclosure published; incident playbook and complaint workflow ready.</w:t>
            </w:r>
          </w:p>
        </w:tc>
      </w:tr>
    </w:tbl>
    <w:p>
      <w:pPr>
        <w:pStyle w:val="Heading1"/>
        <w:keepNext/>
      </w:pPr>
      <w:r>
        <w:t>5. Legal review status</w:t>
      </w:r>
    </w:p>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Counsel review required</w:t>
              <w:br/>
            </w:r>
            <w:r>
              <w:t>The Privacy Policy, Terms/EULA, Acceptable Use provisions, IP assignment template and any regulatory registration conclusions must be reviewed against the operator’s actual legal entity, commercial model, target countries, age rating and data flows before publication or signature. This pack does not replace legal advice.</w:t>
            </w:r>
          </w:p>
        </w:tc>
      </w:tr>
    </w:tbl>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Controlled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Document Register &amp; Launch Readiness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