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40280" cy="10134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_logo_cr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1013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color w:val="171717"/>
          <w:sz w:val="18"/>
        </w:rPr>
        <w:t>CONTROLLED DRAFT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</w:tblGrid>
      <w:tr>
        <w:tc>
          <w:tcPr>
            <w:tcW w:type="dxa" w:w="9994"/>
            <w:shd w:fill="BFFF00"/>
          </w:tcPr>
          <w:p>
            <w:r/>
          </w:p>
        </w:tc>
      </w:tr>
    </w:tbl>
    <w:p>
      <w:pPr>
        <w:pStyle w:val="Title"/>
        <w:jc w:val="center"/>
      </w:pPr>
      <w:r>
        <w:t>Functional, Non-Functional &amp; Acceptance Requirements</w:t>
      </w:r>
    </w:p>
    <w:p>
      <w:pPr>
        <w:jc w:val="center"/>
      </w:pPr>
      <w:r>
        <w:rPr>
          <w:color w:val="6B7280"/>
          <w:sz w:val="24"/>
        </w:rPr>
        <w:t>Detailed requirements and testable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F4FFE6"/>
            <w:vAlign w:val="center"/>
          </w:tcPr>
          <w:p>
            <w:pPr>
              <w:spacing w:after="0"/>
            </w:pPr>
            <w:r>
              <w:rPr>
                <w:sz w:val="18"/>
              </w:rPr>
              <w:t>Product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sz w:val="18"/>
              </w:rPr>
              <w:t>Nod</w:t>
            </w:r>
          </w:p>
        </w:tc>
      </w:tr>
      <w:tr>
        <w:tc>
          <w:tcPr>
            <w:tcW w:type="dxa" w:w="4997"/>
            <w:shd w:fill="F4FFE6"/>
            <w:vAlign w:val="center"/>
          </w:tcPr>
          <w:p>
            <w:pPr>
              <w:spacing w:after="0"/>
            </w:pPr>
            <w:r>
              <w:rPr>
                <w:sz w:val="18"/>
              </w:rPr>
              <w:t>Document version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997"/>
            <w:shd w:fill="F4FFE6"/>
            <w:vAlign w:val="center"/>
          </w:tcPr>
          <w:p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sz w:val="18"/>
              </w:rPr>
              <w:t>19 September 2026</w:t>
            </w:r>
          </w:p>
        </w:tc>
      </w:tr>
      <w:tr>
        <w:tc>
          <w:tcPr>
            <w:tcW w:type="dxa" w:w="4997"/>
            <w:shd w:fill="F4FFE6"/>
            <w:vAlign w:val="center"/>
          </w:tcPr>
          <w:p>
            <w:pPr>
              <w:spacing w:after="0"/>
            </w:pPr>
            <w:r>
              <w:rPr>
                <w:sz w:val="18"/>
              </w:rPr>
              <w:t>Owner / operator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sz w:val="18"/>
              </w:rPr>
              <w:t>[NOD OWNER / LEGAL ENTITY]</w:t>
            </w:r>
          </w:p>
        </w:tc>
      </w:tr>
      <w:tr>
        <w:tc>
          <w:tcPr>
            <w:tcW w:type="dxa" w:w="4997"/>
            <w:shd w:fill="F4FFE6"/>
            <w:vAlign w:val="center"/>
          </w:tcPr>
          <w:p>
            <w:pPr>
              <w:spacing w:after="0"/>
            </w:pPr>
            <w:r>
              <w:rPr>
                <w:sz w:val="18"/>
              </w:rPr>
              <w:t>Status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sz w:val="18"/>
              </w:rPr>
              <w:t>Controlled Draft</w:t>
            </w:r>
          </w:p>
        </w:tc>
      </w:tr>
    </w:tbl>
    <w:p/>
    <w:p>
      <w:r>
        <w:rPr>
          <w:b/>
        </w:rPr>
        <w:t xml:space="preserve">Release note: </w:t>
      </w:r>
      <w:r>
        <w:t>This pack is a production-ready baseline. Bracketed operator details must be completed before public release. Legal documents should be reviewed by Nigerian counsel before publication or execution.</w:t>
      </w:r>
    </w:p>
    <w:p>
      <w:r>
        <w:br w:type="page"/>
      </w:r>
    </w:p>
    <w:p>
      <w:pPr>
        <w:pStyle w:val="Heading1"/>
        <w:keepNext/>
      </w:pPr>
      <w:r>
        <w:t>1. Requirement conventions</w:t>
      </w:r>
    </w:p>
    <w:p>
      <w:r>
        <w:t>“Shall” denotes a mandatory v1 requirement. Each requirement should map to implementation tickets and at least one automated or manual acceptance test.</w:t>
      </w:r>
    </w:p>
    <w:p>
      <w:pPr>
        <w:pStyle w:val="Heading1"/>
        <w:keepNext/>
      </w:pPr>
      <w:r>
        <w:t>2.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71717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331"/>
            <w:shd w:fill="171717"/>
          </w:tcPr>
          <w:p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3331"/>
            <w:shd w:fill="171717"/>
          </w:tcPr>
          <w:p>
            <w:r>
              <w:rPr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FR-001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Profile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Nod shall create and persist a local Nod Profile without requiring a remote account.</w:t>
            </w:r>
          </w:p>
        </w:tc>
      </w:tr>
      <w:tr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FR-002</w:t>
            </w:r>
          </w:p>
        </w:tc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Profile</w:t>
            </w:r>
          </w:p>
        </w:tc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Nod shall support multiple phone/email fields and optional avatar/company/job title/website/social link fields.</w:t>
            </w:r>
          </w:p>
        </w:tc>
      </w:tr>
      <w:tr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FR-003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Profile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Nod shall support reusable Share Profiles and per-transfer field override.</w:t>
            </w:r>
          </w:p>
        </w:tc>
      </w:tr>
      <w:tr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FR-004</w:t>
            </w:r>
          </w:p>
        </w:tc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Discovery</w:t>
            </w:r>
          </w:p>
        </w:tc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Nod shall advertise only a temporary peer identifier and nearby alias needed for discovery, not full profile data.</w:t>
            </w:r>
          </w:p>
        </w:tc>
      </w:tr>
      <w:tr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FR-005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Discovery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Nod shall provide a time-limited Quick Nod discovery window.</w:t>
            </w:r>
          </w:p>
        </w:tc>
      </w:tr>
      <w:tr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FR-006</w:t>
            </w:r>
          </w:p>
        </w:tc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Connection</w:t>
            </w:r>
          </w:p>
        </w:tc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Nod shall require explicit local acceptance by the receiving device.</w:t>
            </w:r>
          </w:p>
        </w:tc>
      </w:tr>
      <w:tr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FR-007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Connection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Nod shall display a matching verification code/token on both devices before the session is considered trusted.</w:t>
            </w:r>
          </w:p>
        </w:tc>
      </w:tr>
      <w:tr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FR-008</w:t>
            </w:r>
          </w:p>
        </w:tc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Contacts</w:t>
            </w:r>
          </w:p>
        </w:tc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Nod shall preview outgoing contact fields before transmission.</w:t>
            </w:r>
          </w:p>
        </w:tc>
      </w:tr>
      <w:tr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FR-009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Contacts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Nod shall let the receiver preview a contact before saving it to Android Contacts.</w:t>
            </w:r>
          </w:p>
        </w:tc>
      </w:tr>
      <w:tr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FR-010</w:t>
            </w:r>
          </w:p>
        </w:tc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Files</w:t>
            </w:r>
          </w:p>
        </w:tc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Nod shall support photos, videos and documents selected through Android-supported pickers.</w:t>
            </w:r>
          </w:p>
        </w:tc>
      </w:tr>
      <w:tr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FR-011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Files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Nod shall send a metadata manifest before file payload transmission.</w:t>
            </w:r>
          </w:p>
        </w:tc>
      </w:tr>
      <w:tr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FR-012</w:t>
            </w:r>
          </w:p>
        </w:tc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Files</w:t>
            </w:r>
          </w:p>
        </w:tc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Nod shall check available storage before accepting large transfers where feasible.</w:t>
            </w:r>
          </w:p>
        </w:tc>
      </w:tr>
      <w:tr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FR-013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Transfer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Nod shall expose progress, speed/ETA when reliable, cancellation and peer-disconnect states.</w:t>
            </w:r>
          </w:p>
        </w:tc>
      </w:tr>
      <w:tr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FR-014</w:t>
            </w:r>
          </w:p>
        </w:tc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Transfer</w:t>
            </w:r>
          </w:p>
        </w:tc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Nod shall hash and verify completed file payloads before finalization.</w:t>
            </w:r>
          </w:p>
        </w:tc>
      </w:tr>
      <w:tr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FR-015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Transfer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Nod shall not expose incomplete files as completed user files.</w:t>
            </w:r>
          </w:p>
        </w:tc>
      </w:tr>
      <w:tr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FR-016</w:t>
            </w:r>
          </w:p>
        </w:tc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Quick Nod</w:t>
            </w:r>
          </w:p>
        </w:tc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Nod shall support a three-shake trigger only when the user has enabled the relevant Always Ready capability.</w:t>
            </w:r>
          </w:p>
        </w:tc>
      </w:tr>
      <w:tr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FR-017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Quick Nod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Nod shall provide a Quick Settings tile that triggers the same Quick Nod use case.</w:t>
            </w:r>
          </w:p>
        </w:tc>
      </w:tr>
      <w:tr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FR-018</w:t>
            </w:r>
          </w:p>
        </w:tc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Background</w:t>
            </w:r>
          </w:p>
        </w:tc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Nod shall use a foreground service only for user-visible, declared capabilities that require it.</w:t>
            </w:r>
          </w:p>
        </w:tc>
      </w:tr>
      <w:tr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FR-019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Scanner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Nod shall perform phone-number OCR locally where the bundled model is available and shall require review before copy/use.</w:t>
            </w:r>
          </w:p>
        </w:tc>
      </w:tr>
      <w:tr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FR-020</w:t>
            </w:r>
          </w:p>
        </w:tc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Safety</w:t>
            </w:r>
          </w:p>
        </w:tc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Nod shall support block, decline and temporary request throttling.</w:t>
            </w:r>
          </w:p>
        </w:tc>
      </w:tr>
      <w:tr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FR-021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History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Nod shall store minimal transfer metadata and shall not retain full received contact payloads solely for history.</w:t>
            </w:r>
          </w:p>
        </w:tc>
      </w:tr>
      <w:tr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FR-022</w:t>
            </w:r>
          </w:p>
        </w:tc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Permissions</w:t>
            </w:r>
          </w:p>
        </w:tc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Nod shall request permissions contextually and explain feature impact when denied.</w:t>
            </w:r>
          </w:p>
        </w:tc>
      </w:tr>
    </w:tbl>
    <w:p>
      <w:pPr>
        <w:pStyle w:val="Heading1"/>
        <w:keepNext/>
      </w:pPr>
      <w:r>
        <w:t>3.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71717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331"/>
            <w:shd w:fill="171717"/>
          </w:tcPr>
          <w:p>
            <w:r>
              <w:rPr>
                <w:b/>
                <w:color w:val="FFFFFF"/>
                <w:sz w:val="17"/>
              </w:rPr>
              <w:t>Quality</w:t>
            </w:r>
          </w:p>
        </w:tc>
        <w:tc>
          <w:tcPr>
            <w:tcW w:type="dxa" w:w="3331"/>
            <w:shd w:fill="171717"/>
          </w:tcPr>
          <w:p>
            <w:r>
              <w:rPr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NFR-001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Security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No transfer is marked complete before integrity verification.</w:t>
            </w:r>
          </w:p>
        </w:tc>
      </w:tr>
      <w:tr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NFR-002</w:t>
            </w:r>
          </w:p>
        </w:tc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Privacy</w:t>
            </w:r>
          </w:p>
        </w:tc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Nod-owned cloud infrastructure shall not be required for core v1 exchange.</w:t>
            </w:r>
          </w:p>
        </w:tc>
      </w:tr>
      <w:tr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NFR-003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Performance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File I/O shall be streamed/bounded; whole large files shall not be loaded into memory.</w:t>
            </w:r>
          </w:p>
        </w:tc>
      </w:tr>
      <w:tr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NFR-004</w:t>
            </w:r>
          </w:p>
        </w:tc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Reliability</w:t>
            </w:r>
          </w:p>
        </w:tc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Process interruption and peer loss shall leave recoverable or cleanly discarded temporary state.</w:t>
            </w:r>
          </w:p>
        </w:tc>
      </w:tr>
      <w:tr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NFR-005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Compatibility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Application shall install and run on API 26+ subject to hardware/Google Play Services capability checks.</w:t>
            </w:r>
          </w:p>
        </w:tc>
      </w:tr>
      <w:tr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NFR-006</w:t>
            </w:r>
          </w:p>
        </w:tc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Accessibility</w:t>
            </w:r>
          </w:p>
        </w:tc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Interactive targets, contrast, screen-reader labels and large-text behavior shall meet Android accessibility guidance.</w:t>
            </w:r>
          </w:p>
        </w:tc>
      </w:tr>
      <w:tr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NFR-007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Battery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Always Ready shall not continuously advertise/scan merely because shake detection is enabled.</w:t>
            </w:r>
          </w:p>
        </w:tc>
      </w:tr>
      <w:tr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NFR-008</w:t>
            </w:r>
          </w:p>
        </w:tc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Maintainability</w:t>
            </w:r>
          </w:p>
        </w:tc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Transport implementation shall sit behind a stable NodTransport interface.</w:t>
            </w:r>
          </w:p>
        </w:tc>
      </w:tr>
      <w:tr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NFR-009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Observability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7"/>
              </w:rPr>
              <w:t>Diagnostics shall avoid contact/file content and sensitive profile values.</w:t>
            </w:r>
          </w:p>
        </w:tc>
      </w:tr>
      <w:tr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NFR-010</w:t>
            </w:r>
          </w:p>
        </w:tc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Protocol</w:t>
            </w:r>
          </w:p>
        </w:tc>
        <w:tc>
          <w:tcPr>
            <w:tcW w:type="dxa" w:w="3331"/>
            <w:shd w:fill="FAFAFA"/>
          </w:tcPr>
          <w:p>
            <w:pPr>
              <w:spacing w:after="0"/>
            </w:pPr>
            <w:r>
              <w:rPr>
                <w:sz w:val="17"/>
              </w:rPr>
              <w:t>All control messages shall include protocol version and session/transfer identifiers.</w:t>
            </w:r>
          </w:p>
        </w:tc>
      </w:tr>
    </w:tbl>
    <w:p>
      <w:pPr>
        <w:pStyle w:val="Heading1"/>
        <w:keepNext/>
      </w:pPr>
      <w:r>
        <w:t>4. Acceptance scenarios</w:t>
      </w:r>
    </w:p>
    <w:p>
      <w:pPr>
        <w:pStyle w:val="ListBullet"/>
      </w:pPr>
      <w:r>
        <w:t>Both users see the same verification code and independently confirm it before connected state.</w:t>
      </w:r>
    </w:p>
    <w:p>
      <w:pPr>
        <w:pStyle w:val="ListBullet"/>
      </w:pPr>
      <w:r>
        <w:t>Receiver rejects a manifest; no content bytes are finalized and sender sees rejection.</w:t>
      </w:r>
    </w:p>
    <w:p>
      <w:pPr>
        <w:pStyle w:val="ListBullet"/>
      </w:pPr>
      <w:r>
        <w:t>Phone loses connection at 68%; UI enters interrupted/retry state and no corrupt completed file is shown.</w:t>
      </w:r>
    </w:p>
    <w:p>
      <w:pPr>
        <w:pStyle w:val="ListBullet"/>
      </w:pPr>
      <w:r>
        <w:t>Insufficient storage is detected before large transfer acceptance or finalization and is explained clearly.</w:t>
      </w:r>
    </w:p>
    <w:p>
      <w:pPr>
        <w:pStyle w:val="ListBullet"/>
      </w:pPr>
      <w:r>
        <w:t>User denies Contacts permission; file transfer remains usable.</w:t>
      </w:r>
    </w:p>
    <w:p>
      <w:pPr>
        <w:pStyle w:val="ListBullet"/>
      </w:pPr>
      <w:r>
        <w:t>User denies Camera; scanner explains limitation but Nod exchange remains usable.</w:t>
      </w:r>
    </w:p>
    <w:p>
      <w:pPr>
        <w:pStyle w:val="ListBullet"/>
      </w:pPr>
      <w:r>
        <w:t>Shake false-positive field test includes walking, vehicle travel, desk placement and normal phone handling.</w:t>
      </w:r>
    </w:p>
    <w:p>
      <w:pPr>
        <w:pStyle w:val="ListBullet"/>
      </w:pPr>
      <w:r>
        <w:t>Blocked peer cannot repeatedly produce foreground connection prompts during the block period.</w:t>
      </w:r>
    </w:p>
    <w:p>
      <w:pPr>
        <w:pStyle w:val="Heading1"/>
        <w:keepNext/>
      </w:pPr>
      <w:r>
        <w:t>5. Definition of done</w:t>
      </w:r>
    </w:p>
    <w:p>
      <w:r>
        <w:t>A feature is not done until product behavior, error behavior, accessibility, privacy implications, logs, tests and relevant policy declarations are updated together.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6"/>
      </w:rPr>
      <w:t xml:space="preserve">Nod - Closer. Faster. Yours.   |   Version 1.0   |   Controlled Draft   |   </w:t>
    </w:r>
    <w: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078992" cy="4881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od_logo_cro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8992" cy="488115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6B7280"/>
        <w:sz w:val="18"/>
      </w:rPr>
      <w:t xml:space="preserve">    Functional, Non-Functional &amp; Acceptance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7171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171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7171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7171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7171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dLabel">
    <w:name w:val="Nod Label"/>
    <w:rPr>
      <w:rFonts w:ascii="Arial" w:hAnsi="Arial"/>
      <w:b/>
      <w:color w:val="6B728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