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40280" cy="1013460"/>
            <wp:docPr id="1" name="Picture 1"/>
            <wp:cNvGraphicFramePr>
              <a:graphicFrameLocks noChangeAspect="1"/>
            </wp:cNvGraphicFramePr>
            <a:graphic>
              <a:graphicData uri="http://schemas.openxmlformats.org/drawingml/2006/picture">
                <pic:pic>
                  <pic:nvPicPr>
                    <pic:cNvPr id="0" name="nod_logo_crop.png"/>
                    <pic:cNvPicPr/>
                  </pic:nvPicPr>
                  <pic:blipFill>
                    <a:blip r:embed="rId11"/>
                    <a:stretch>
                      <a:fillRect/>
                    </a:stretch>
                  </pic:blipFill>
                  <pic:spPr>
                    <a:xfrm>
                      <a:off x="0" y="0"/>
                      <a:ext cx="2240280" cy="1013460"/>
                    </a:xfrm>
                    <a:prstGeom prst="rect"/>
                  </pic:spPr>
                </pic:pic>
              </a:graphicData>
            </a:graphic>
          </wp:inline>
        </w:drawing>
      </w:r>
    </w:p>
    <w:p>
      <w:pPr>
        <w:spacing w:after="120"/>
        <w:jc w:val="center"/>
      </w:pPr>
      <w:r>
        <w:rPr>
          <w:b/>
          <w:color w:val="171717"/>
          <w:sz w:val="18"/>
        </w:rPr>
        <w:t>CONTROLLED DRAFT</w:t>
      </w:r>
    </w:p>
    <w:tbl>
      <w:tblPr>
        <w:tblW w:type="auto" w:w="0"/>
        <w:jc w:val="center"/>
        <w:tblLayout w:type="fixed"/>
        <w:tblLook w:firstColumn="1" w:firstRow="1" w:lastColumn="0" w:lastRow="0" w:noHBand="0" w:noVBand="1" w:val="04A0"/>
      </w:tblPr>
      <w:tblGrid>
        <w:gridCol w:w="8352"/>
      </w:tblGrid>
      <w:tr>
        <w:tc>
          <w:tcPr>
            <w:tcW w:type="dxa" w:w="9994"/>
            <w:shd w:fill="BFFF00"/>
          </w:tcPr>
          <w:p>
            <w:r/>
          </w:p>
        </w:tc>
      </w:tr>
    </w:tbl>
    <w:p>
      <w:pPr>
        <w:pStyle w:val="Title"/>
        <w:jc w:val="center"/>
      </w:pPr>
      <w:r>
        <w:t>Privacy, DPIA, Data Governance &amp; Retention</w:t>
      </w:r>
    </w:p>
    <w:p>
      <w:pPr>
        <w:jc w:val="center"/>
      </w:pPr>
      <w:r>
        <w:rPr>
          <w:color w:val="6B7280"/>
          <w:sz w:val="24"/>
        </w:rPr>
        <w:t>Privacy-by-design assessment, processing inventory and retention controls</w:t>
      </w:r>
    </w:p>
    <w:tbl>
      <w:tblPr>
        <w:tblStyle w:val="TableGrid"/>
        <w:tblW w:type="auto" w:w="0"/>
        <w:jc w:val="center"/>
        <w:tblLook w:firstColumn="1" w:firstRow="1" w:lastColumn="0" w:lastRow="0" w:noHBand="0" w:noVBand="1" w:val="04A0"/>
      </w:tblPr>
      <w:tblGrid>
        <w:gridCol w:w="4997"/>
        <w:gridCol w:w="4997"/>
      </w:tblGrid>
      <w:tr>
        <w:tc>
          <w:tcPr>
            <w:tcW w:type="dxa" w:w="4997"/>
            <w:shd w:fill="F4FFE6"/>
            <w:vAlign w:val="center"/>
          </w:tcPr>
          <w:p>
            <w:pPr>
              <w:spacing w:after="0"/>
            </w:pPr>
            <w:r>
              <w:rPr>
                <w:sz w:val="18"/>
              </w:rPr>
              <w:t>Product</w:t>
            </w:r>
          </w:p>
        </w:tc>
        <w:tc>
          <w:tcPr>
            <w:tcW w:type="dxa" w:w="4997"/>
            <w:vAlign w:val="center"/>
          </w:tcPr>
          <w:p>
            <w:pPr>
              <w:spacing w:after="0"/>
            </w:pPr>
            <w:r>
              <w:rPr>
                <w:sz w:val="18"/>
              </w:rPr>
              <w:t>Nod</w:t>
            </w:r>
          </w:p>
        </w:tc>
      </w:tr>
      <w:tr>
        <w:tc>
          <w:tcPr>
            <w:tcW w:type="dxa" w:w="4997"/>
            <w:shd w:fill="F4FFE6"/>
            <w:vAlign w:val="center"/>
          </w:tcPr>
          <w:p>
            <w:pPr>
              <w:spacing w:after="0"/>
            </w:pPr>
            <w:r>
              <w:rPr>
                <w:sz w:val="18"/>
              </w:rPr>
              <w:t>Document version</w:t>
            </w:r>
          </w:p>
        </w:tc>
        <w:tc>
          <w:tcPr>
            <w:tcW w:type="dxa" w:w="4997"/>
            <w:vAlign w:val="center"/>
          </w:tcPr>
          <w:p>
            <w:pPr>
              <w:spacing w:after="0"/>
            </w:pPr>
            <w:r>
              <w:rPr>
                <w:sz w:val="18"/>
              </w:rPr>
              <w:t>1.0</w:t>
            </w:r>
          </w:p>
        </w:tc>
      </w:tr>
      <w:tr>
        <w:tc>
          <w:tcPr>
            <w:tcW w:type="dxa" w:w="4997"/>
            <w:shd w:fill="F4FFE6"/>
            <w:vAlign w:val="center"/>
          </w:tcPr>
          <w:p>
            <w:pPr>
              <w:spacing w:after="0"/>
            </w:pPr>
            <w:r>
              <w:rPr>
                <w:sz w:val="18"/>
              </w:rPr>
              <w:t>Date</w:t>
            </w:r>
          </w:p>
        </w:tc>
        <w:tc>
          <w:tcPr>
            <w:tcW w:type="dxa" w:w="4997"/>
            <w:vAlign w:val="center"/>
          </w:tcPr>
          <w:p>
            <w:pPr>
              <w:spacing w:after="0"/>
            </w:pPr>
            <w:r>
              <w:rPr>
                <w:sz w:val="18"/>
              </w:rPr>
              <w:t>19 September 2026</w:t>
            </w:r>
          </w:p>
        </w:tc>
      </w:tr>
      <w:tr>
        <w:tc>
          <w:tcPr>
            <w:tcW w:type="dxa" w:w="4997"/>
            <w:shd w:fill="F4FFE6"/>
            <w:vAlign w:val="center"/>
          </w:tcPr>
          <w:p>
            <w:pPr>
              <w:spacing w:after="0"/>
            </w:pPr>
            <w:r>
              <w:rPr>
                <w:sz w:val="18"/>
              </w:rPr>
              <w:t>Owner / operator</w:t>
            </w:r>
          </w:p>
        </w:tc>
        <w:tc>
          <w:tcPr>
            <w:tcW w:type="dxa" w:w="4997"/>
            <w:vAlign w:val="center"/>
          </w:tcPr>
          <w:p>
            <w:pPr>
              <w:spacing w:after="0"/>
            </w:pPr>
            <w:r>
              <w:rPr>
                <w:sz w:val="18"/>
              </w:rPr>
              <w:t>[NOD OWNER / LEGAL ENTITY]</w:t>
            </w:r>
          </w:p>
        </w:tc>
      </w:tr>
      <w:tr>
        <w:tc>
          <w:tcPr>
            <w:tcW w:type="dxa" w:w="4997"/>
            <w:shd w:fill="F4FFE6"/>
            <w:vAlign w:val="center"/>
          </w:tcPr>
          <w:p>
            <w:pPr>
              <w:spacing w:after="0"/>
            </w:pPr>
            <w:r>
              <w:rPr>
                <w:sz w:val="18"/>
              </w:rPr>
              <w:t>Status</w:t>
            </w:r>
          </w:p>
        </w:tc>
        <w:tc>
          <w:tcPr>
            <w:tcW w:type="dxa" w:w="4997"/>
            <w:vAlign w:val="center"/>
          </w:tcPr>
          <w:p>
            <w:pPr>
              <w:spacing w:after="0"/>
            </w:pPr>
            <w:r>
              <w:rPr>
                <w:sz w:val="18"/>
              </w:rPr>
              <w:t>Controlled Draft</w:t>
            </w:r>
          </w:p>
        </w:tc>
      </w:tr>
    </w:tbl>
    <w:p/>
    <w:p>
      <w:r>
        <w:rPr>
          <w:b/>
        </w:rPr>
        <w:t xml:space="preserve">Release note: </w:t>
      </w:r>
      <w:r>
        <w:t>This pack is a production-ready baseline. Bracketed operator details must be completed before public release. Legal documents should be reviewed by Nigerian counsel before publication or execution.</w:t>
      </w:r>
    </w:p>
    <w:p>
      <w:r>
        <w:br w:type="page"/>
      </w:r>
    </w:p>
    <w:p>
      <w:pPr>
        <w:pStyle w:val="Heading1"/>
        <w:keepNext/>
      </w:pPr>
      <w:r>
        <w:t>1. Scope and legal framework</w:t>
      </w:r>
    </w:p>
    <w:p>
      <w:r>
        <w:t>This assessment is designed around the Nigeria Data Protection Act 2023 and the NDPC General Application and Implementation Directive (GAID) 2025, while also accounting for Google Play disclosure obligations. GAID 2025 took effect on 19 September 2025. Final controller/processor classification and registration obligations depend on the operator’s actual scale and processing activities and should be confirmed with a qualified DPCO/counsel.</w:t>
      </w:r>
    </w:p>
    <w:p>
      <w:pPr>
        <w:pStyle w:val="Heading1"/>
        <w:keepNext/>
      </w:pPr>
      <w:r>
        <w:t>2. Privacy architecture</w:t>
      </w:r>
    </w:p>
    <w:p>
      <w:pPr>
        <w:pStyle w:val="ListBullet"/>
      </w:pPr>
      <w:r>
        <w:t>No Nod account is required for v1.</w:t>
      </w:r>
    </w:p>
    <w:p>
      <w:pPr>
        <w:pStyle w:val="ListBullet"/>
      </w:pPr>
      <w:r>
        <w:t>No Nod-operated cloud content server is required for the core exchange path.</w:t>
      </w:r>
    </w:p>
    <w:p>
      <w:pPr>
        <w:pStyle w:val="ListBullet"/>
      </w:pPr>
      <w:r>
        <w:t>Nod Profile is stored locally on the user device.</w:t>
      </w:r>
    </w:p>
    <w:p>
      <w:pPr>
        <w:pStyle w:val="ListBullet"/>
      </w:pPr>
      <w:r>
        <w:t>Full profile/contact details are not broadcast during discovery.</w:t>
      </w:r>
    </w:p>
    <w:p>
      <w:pPr>
        <w:pStyle w:val="ListBullet"/>
      </w:pPr>
      <w:r>
        <w:t>Content is disclosed only after session verification and user selection/approval.</w:t>
      </w:r>
    </w:p>
    <w:p>
      <w:pPr>
        <w:pStyle w:val="ListBullet"/>
      </w:pPr>
      <w:r>
        <w:t>Transfer history retains minimal metadata rather than payload copies.</w:t>
      </w:r>
    </w:p>
    <w:p>
      <w:pPr>
        <w:pStyle w:val="ListBullet"/>
      </w:pPr>
      <w:r>
        <w:t>Optional SDK/platform diagnostics must be separately inventoried and disclosed based on actual release build behavior.</w:t>
      </w:r>
    </w:p>
    <w:p>
      <w:pPr>
        <w:pStyle w:val="Heading1"/>
        <w:keepNext/>
      </w:pPr>
      <w:r>
        <w:t>3. Processing inventory / ROPA baseline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71717"/>
          </w:tcPr>
          <w:p>
            <w:r>
              <w:rPr>
                <w:b/>
                <w:color w:val="FFFFFF"/>
                <w:sz w:val="17"/>
              </w:rPr>
              <w:t>Data</w:t>
            </w:r>
          </w:p>
        </w:tc>
        <w:tc>
          <w:tcPr>
            <w:tcW w:type="dxa" w:w="1999"/>
            <w:shd w:fill="171717"/>
          </w:tcPr>
          <w:p>
            <w:r>
              <w:rPr>
                <w:b/>
                <w:color w:val="FFFFFF"/>
                <w:sz w:val="17"/>
              </w:rPr>
              <w:t>Source</w:t>
            </w:r>
          </w:p>
        </w:tc>
        <w:tc>
          <w:tcPr>
            <w:tcW w:type="dxa" w:w="1999"/>
            <w:shd w:fill="171717"/>
          </w:tcPr>
          <w:p>
            <w:r>
              <w:rPr>
                <w:b/>
                <w:color w:val="FFFFFF"/>
                <w:sz w:val="17"/>
              </w:rPr>
              <w:t>Purpose</w:t>
            </w:r>
          </w:p>
        </w:tc>
        <w:tc>
          <w:tcPr>
            <w:tcW w:type="dxa" w:w="1999"/>
            <w:shd w:fill="171717"/>
          </w:tcPr>
          <w:p>
            <w:r>
              <w:rPr>
                <w:b/>
                <w:color w:val="FFFFFF"/>
                <w:sz w:val="17"/>
              </w:rPr>
              <w:t>Retention</w:t>
            </w:r>
          </w:p>
        </w:tc>
        <w:tc>
          <w:tcPr>
            <w:tcW w:type="dxa" w:w="1999"/>
            <w:shd w:fill="171717"/>
          </w:tcPr>
          <w:p>
            <w:r>
              <w:rPr>
                <w:b/>
                <w:color w:val="FFFFFF"/>
                <w:sz w:val="17"/>
              </w:rPr>
              <w:t>Recipient</w:t>
            </w:r>
          </w:p>
        </w:tc>
      </w:tr>
      <w:tr>
        <w:tc>
          <w:tcPr>
            <w:tcW w:type="dxa" w:w="1999"/>
          </w:tcPr>
          <w:p>
            <w:pPr>
              <w:spacing w:after="0"/>
            </w:pPr>
            <w:r>
              <w:rPr>
                <w:sz w:val="17"/>
              </w:rPr>
              <w:t>Nod Profile fields</w:t>
            </w:r>
          </w:p>
        </w:tc>
        <w:tc>
          <w:tcPr>
            <w:tcW w:type="dxa" w:w="1999"/>
          </w:tcPr>
          <w:p>
            <w:pPr>
              <w:spacing w:after="0"/>
            </w:pPr>
            <w:r>
              <w:rPr>
                <w:sz w:val="17"/>
              </w:rPr>
              <w:t>User enters/imports own contact details</w:t>
            </w:r>
          </w:p>
        </w:tc>
        <w:tc>
          <w:tcPr>
            <w:tcW w:type="dxa" w:w="1999"/>
          </w:tcPr>
          <w:p>
            <w:pPr>
              <w:spacing w:after="0"/>
            </w:pPr>
            <w:r>
              <w:rPr>
                <w:sz w:val="17"/>
              </w:rPr>
              <w:t>Provide reusable sharing identity</w:t>
            </w:r>
          </w:p>
        </w:tc>
        <w:tc>
          <w:tcPr>
            <w:tcW w:type="dxa" w:w="1999"/>
          </w:tcPr>
          <w:p>
            <w:pPr>
              <w:spacing w:after="0"/>
            </w:pPr>
            <w:r>
              <w:rPr>
                <w:sz w:val="17"/>
              </w:rPr>
              <w:t>Stored locally until user edits/deletes/uninstalls, subject to backup exclusions</w:t>
            </w:r>
          </w:p>
        </w:tc>
        <w:tc>
          <w:tcPr>
            <w:tcW w:type="dxa" w:w="1999"/>
          </w:tcPr>
          <w:p>
            <w:pPr>
              <w:spacing w:after="0"/>
            </w:pPr>
            <w:r>
              <w:rPr>
                <w:sz w:val="17"/>
              </w:rPr>
              <w:t>Local device only unless user chooses to share</w:t>
            </w:r>
          </w:p>
        </w:tc>
      </w:tr>
      <w:tr>
        <w:tc>
          <w:tcPr>
            <w:tcW w:type="dxa" w:w="1999"/>
            <w:shd w:fill="FAFAFA"/>
          </w:tcPr>
          <w:p>
            <w:pPr>
              <w:spacing w:after="0"/>
            </w:pPr>
            <w:r>
              <w:rPr>
                <w:sz w:val="17"/>
              </w:rPr>
              <w:t>Nearby alias / peer IDs</w:t>
            </w:r>
          </w:p>
        </w:tc>
        <w:tc>
          <w:tcPr>
            <w:tcW w:type="dxa" w:w="1999"/>
            <w:shd w:fill="FAFAFA"/>
          </w:tcPr>
          <w:p>
            <w:pPr>
              <w:spacing w:after="0"/>
            </w:pPr>
            <w:r>
              <w:rPr>
                <w:sz w:val="17"/>
              </w:rPr>
              <w:t>Generated/configured locally</w:t>
            </w:r>
          </w:p>
        </w:tc>
        <w:tc>
          <w:tcPr>
            <w:tcW w:type="dxa" w:w="1999"/>
            <w:shd w:fill="FAFAFA"/>
          </w:tcPr>
          <w:p>
            <w:pPr>
              <w:spacing w:after="0"/>
            </w:pPr>
            <w:r>
              <w:rPr>
                <w:sz w:val="17"/>
              </w:rPr>
              <w:t>Discovery and connection</w:t>
            </w:r>
          </w:p>
        </w:tc>
        <w:tc>
          <w:tcPr>
            <w:tcW w:type="dxa" w:w="1999"/>
            <w:shd w:fill="FAFAFA"/>
          </w:tcPr>
          <w:p>
            <w:pPr>
              <w:spacing w:after="0"/>
            </w:pPr>
            <w:r>
              <w:rPr>
                <w:sz w:val="17"/>
              </w:rPr>
              <w:t>Ephemeral/limited</w:t>
            </w:r>
          </w:p>
        </w:tc>
        <w:tc>
          <w:tcPr>
            <w:tcW w:type="dxa" w:w="1999"/>
            <w:shd w:fill="FAFAFA"/>
          </w:tcPr>
          <w:p>
            <w:pPr>
              <w:spacing w:after="0"/>
            </w:pPr>
            <w:r>
              <w:rPr>
                <w:sz w:val="17"/>
              </w:rPr>
              <w:t>Nearby peer devices; transport SDK as technically necessary</w:t>
            </w:r>
          </w:p>
        </w:tc>
      </w:tr>
      <w:tr>
        <w:tc>
          <w:tcPr>
            <w:tcW w:type="dxa" w:w="1999"/>
          </w:tcPr>
          <w:p>
            <w:pPr>
              <w:spacing w:after="0"/>
            </w:pPr>
            <w:r>
              <w:rPr>
                <w:sz w:val="17"/>
              </w:rPr>
              <w:t>Selected contact payload</w:t>
            </w:r>
          </w:p>
        </w:tc>
        <w:tc>
          <w:tcPr>
            <w:tcW w:type="dxa" w:w="1999"/>
          </w:tcPr>
          <w:p>
            <w:pPr>
              <w:spacing w:after="0"/>
            </w:pPr>
            <w:r>
              <w:rPr>
                <w:sz w:val="17"/>
              </w:rPr>
              <w:t>User-selected fields</w:t>
            </w:r>
          </w:p>
        </w:tc>
        <w:tc>
          <w:tcPr>
            <w:tcW w:type="dxa" w:w="1999"/>
          </w:tcPr>
          <w:p>
            <w:pPr>
              <w:spacing w:after="0"/>
            </w:pPr>
            <w:r>
              <w:rPr>
                <w:sz w:val="17"/>
              </w:rPr>
              <w:t>Peer-to-peer sharing</w:t>
            </w:r>
          </w:p>
        </w:tc>
        <w:tc>
          <w:tcPr>
            <w:tcW w:type="dxa" w:w="1999"/>
          </w:tcPr>
          <w:p>
            <w:pPr>
              <w:spacing w:after="0"/>
            </w:pPr>
            <w:r>
              <w:rPr>
                <w:sz w:val="17"/>
              </w:rPr>
              <w:t>Session/temp until delivered; no central retention</w:t>
            </w:r>
          </w:p>
        </w:tc>
        <w:tc>
          <w:tcPr>
            <w:tcW w:type="dxa" w:w="1999"/>
          </w:tcPr>
          <w:p>
            <w:pPr>
              <w:spacing w:after="0"/>
            </w:pPr>
            <w:r>
              <w:rPr>
                <w:sz w:val="17"/>
              </w:rPr>
              <w:t>Chosen receiving peer</w:t>
            </w:r>
          </w:p>
        </w:tc>
      </w:tr>
      <w:tr>
        <w:tc>
          <w:tcPr>
            <w:tcW w:type="dxa" w:w="1999"/>
            <w:shd w:fill="FAFAFA"/>
          </w:tcPr>
          <w:p>
            <w:pPr>
              <w:spacing w:after="0"/>
            </w:pPr>
            <w:r>
              <w:rPr>
                <w:sz w:val="17"/>
              </w:rPr>
              <w:t>Selected files</w:t>
            </w:r>
          </w:p>
        </w:tc>
        <w:tc>
          <w:tcPr>
            <w:tcW w:type="dxa" w:w="1999"/>
            <w:shd w:fill="FAFAFA"/>
          </w:tcPr>
          <w:p>
            <w:pPr>
              <w:spacing w:after="0"/>
            </w:pPr>
            <w:r>
              <w:rPr>
                <w:sz w:val="17"/>
              </w:rPr>
              <w:t>User-selected URIs</w:t>
            </w:r>
          </w:p>
        </w:tc>
        <w:tc>
          <w:tcPr>
            <w:tcW w:type="dxa" w:w="1999"/>
            <w:shd w:fill="FAFAFA"/>
          </w:tcPr>
          <w:p>
            <w:pPr>
              <w:spacing w:after="0"/>
            </w:pPr>
            <w:r>
              <w:rPr>
                <w:sz w:val="17"/>
              </w:rPr>
              <w:t>Peer-to-peer sharing</w:t>
            </w:r>
          </w:p>
        </w:tc>
        <w:tc>
          <w:tcPr>
            <w:tcW w:type="dxa" w:w="1999"/>
            <w:shd w:fill="FAFAFA"/>
          </w:tcPr>
          <w:p>
            <w:pPr>
              <w:spacing w:after="0"/>
            </w:pPr>
            <w:r>
              <w:rPr>
                <w:sz w:val="17"/>
              </w:rPr>
              <w:t>No Nod server retention; temporary receiver copy during transfer</w:t>
            </w:r>
          </w:p>
        </w:tc>
        <w:tc>
          <w:tcPr>
            <w:tcW w:type="dxa" w:w="1999"/>
            <w:shd w:fill="FAFAFA"/>
          </w:tcPr>
          <w:p>
            <w:pPr>
              <w:spacing w:after="0"/>
            </w:pPr>
            <w:r>
              <w:rPr>
                <w:sz w:val="17"/>
              </w:rPr>
              <w:t>Chosen receiving peer</w:t>
            </w:r>
          </w:p>
        </w:tc>
      </w:tr>
      <w:tr>
        <w:tc>
          <w:tcPr>
            <w:tcW w:type="dxa" w:w="1999"/>
          </w:tcPr>
          <w:p>
            <w:pPr>
              <w:spacing w:after="0"/>
            </w:pPr>
            <w:r>
              <w:rPr>
                <w:sz w:val="17"/>
              </w:rPr>
              <w:t>Camera frames / OCR text</w:t>
            </w:r>
          </w:p>
        </w:tc>
        <w:tc>
          <w:tcPr>
            <w:tcW w:type="dxa" w:w="1999"/>
          </w:tcPr>
          <w:p>
            <w:pPr>
              <w:spacing w:after="0"/>
            </w:pPr>
            <w:r>
              <w:rPr>
                <w:sz w:val="17"/>
              </w:rPr>
              <w:t>Camera during scanner use</w:t>
            </w:r>
          </w:p>
        </w:tc>
        <w:tc>
          <w:tcPr>
            <w:tcW w:type="dxa" w:w="1999"/>
          </w:tcPr>
          <w:p>
            <w:pPr>
              <w:spacing w:after="0"/>
            </w:pPr>
            <w:r>
              <w:rPr>
                <w:sz w:val="17"/>
              </w:rPr>
              <w:t>Recognize phone numbers</w:t>
            </w:r>
          </w:p>
        </w:tc>
        <w:tc>
          <w:tcPr>
            <w:tcW w:type="dxa" w:w="1999"/>
          </w:tcPr>
          <w:p>
            <w:pPr>
              <w:spacing w:after="0"/>
            </w:pPr>
            <w:r>
              <w:rPr>
                <w:sz w:val="17"/>
              </w:rPr>
              <w:t>Process transiently; do not retain unless user explicitly saves image elsewhere</w:t>
            </w:r>
          </w:p>
        </w:tc>
        <w:tc>
          <w:tcPr>
            <w:tcW w:type="dxa" w:w="1999"/>
          </w:tcPr>
          <w:p>
            <w:pPr>
              <w:spacing w:after="0"/>
            </w:pPr>
            <w:r>
              <w:rPr>
                <w:sz w:val="17"/>
              </w:rPr>
              <w:t>On-device OCR components; verify SDK behavior</w:t>
            </w:r>
          </w:p>
        </w:tc>
      </w:tr>
      <w:tr>
        <w:tc>
          <w:tcPr>
            <w:tcW w:type="dxa" w:w="1999"/>
            <w:shd w:fill="FAFAFA"/>
          </w:tcPr>
          <w:p>
            <w:pPr>
              <w:spacing w:after="0"/>
            </w:pPr>
            <w:r>
              <w:rPr>
                <w:sz w:val="17"/>
              </w:rPr>
              <w:t>Accelerometer events</w:t>
            </w:r>
          </w:p>
        </w:tc>
        <w:tc>
          <w:tcPr>
            <w:tcW w:type="dxa" w:w="1999"/>
            <w:shd w:fill="FAFAFA"/>
          </w:tcPr>
          <w:p>
            <w:pPr>
              <w:spacing w:after="0"/>
            </w:pPr>
            <w:r>
              <w:rPr>
                <w:sz w:val="17"/>
              </w:rPr>
              <w:t>Device sensor</w:t>
            </w:r>
          </w:p>
        </w:tc>
        <w:tc>
          <w:tcPr>
            <w:tcW w:type="dxa" w:w="1999"/>
            <w:shd w:fill="FAFAFA"/>
          </w:tcPr>
          <w:p>
            <w:pPr>
              <w:spacing w:after="0"/>
            </w:pPr>
            <w:r>
              <w:rPr>
                <w:sz w:val="17"/>
              </w:rPr>
              <w:t>Shake-to-Nod detection</w:t>
            </w:r>
          </w:p>
        </w:tc>
        <w:tc>
          <w:tcPr>
            <w:tcW w:type="dxa" w:w="1999"/>
            <w:shd w:fill="FAFAFA"/>
          </w:tcPr>
          <w:p>
            <w:pPr>
              <w:spacing w:after="0"/>
            </w:pPr>
            <w:r>
              <w:rPr>
                <w:sz w:val="17"/>
              </w:rPr>
              <w:t>Transient; not history</w:t>
            </w:r>
          </w:p>
        </w:tc>
        <w:tc>
          <w:tcPr>
            <w:tcW w:type="dxa" w:w="1999"/>
            <w:shd w:fill="FAFAFA"/>
          </w:tcPr>
          <w:p>
            <w:pPr>
              <w:spacing w:after="0"/>
            </w:pPr>
            <w:r>
              <w:rPr>
                <w:sz w:val="17"/>
              </w:rPr>
              <w:t>No intended external disclosure</w:t>
            </w:r>
          </w:p>
        </w:tc>
      </w:tr>
      <w:tr>
        <w:tc>
          <w:tcPr>
            <w:tcW w:type="dxa" w:w="1999"/>
          </w:tcPr>
          <w:p>
            <w:pPr>
              <w:spacing w:after="0"/>
            </w:pPr>
            <w:r>
              <w:rPr>
                <w:sz w:val="17"/>
              </w:rPr>
              <w:t>Transfer metadata</w:t>
            </w:r>
          </w:p>
        </w:tc>
        <w:tc>
          <w:tcPr>
            <w:tcW w:type="dxa" w:w="1999"/>
          </w:tcPr>
          <w:p>
            <w:pPr>
              <w:spacing w:after="0"/>
            </w:pPr>
            <w:r>
              <w:rPr>
                <w:sz w:val="17"/>
              </w:rPr>
              <w:t>Generated by app</w:t>
            </w:r>
          </w:p>
        </w:tc>
        <w:tc>
          <w:tcPr>
            <w:tcW w:type="dxa" w:w="1999"/>
          </w:tcPr>
          <w:p>
            <w:pPr>
              <w:spacing w:after="0"/>
            </w:pPr>
            <w:r>
              <w:rPr>
                <w:sz w:val="17"/>
              </w:rPr>
              <w:t>History/support</w:t>
            </w:r>
          </w:p>
        </w:tc>
        <w:tc>
          <w:tcPr>
            <w:tcW w:type="dxa" w:w="1999"/>
          </w:tcPr>
          <w:p>
            <w:pPr>
              <w:spacing w:after="0"/>
            </w:pPr>
            <w:r>
              <w:rPr>
                <w:sz w:val="17"/>
              </w:rPr>
              <w:t>User-controlled/local retention policy</w:t>
            </w:r>
          </w:p>
        </w:tc>
        <w:tc>
          <w:tcPr>
            <w:tcW w:type="dxa" w:w="1999"/>
          </w:tcPr>
          <w:p>
            <w:pPr>
              <w:spacing w:after="0"/>
            </w:pPr>
            <w:r>
              <w:rPr>
                <w:sz w:val="17"/>
              </w:rPr>
              <w:t>Local device</w:t>
            </w:r>
          </w:p>
        </w:tc>
      </w:tr>
      <w:tr>
        <w:tc>
          <w:tcPr>
            <w:tcW w:type="dxa" w:w="1999"/>
            <w:shd w:fill="FAFAFA"/>
          </w:tcPr>
          <w:p>
            <w:pPr>
              <w:spacing w:after="0"/>
            </w:pPr>
            <w:r>
              <w:rPr>
                <w:sz w:val="17"/>
              </w:rPr>
              <w:t>Diagnostics</w:t>
            </w:r>
          </w:p>
        </w:tc>
        <w:tc>
          <w:tcPr>
            <w:tcW w:type="dxa" w:w="1999"/>
            <w:shd w:fill="FAFAFA"/>
          </w:tcPr>
          <w:p>
            <w:pPr>
              <w:spacing w:after="0"/>
            </w:pPr>
            <w:r>
              <w:rPr>
                <w:sz w:val="17"/>
              </w:rPr>
              <w:t>Technical app events</w:t>
            </w:r>
          </w:p>
        </w:tc>
        <w:tc>
          <w:tcPr>
            <w:tcW w:type="dxa" w:w="1999"/>
            <w:shd w:fill="FAFAFA"/>
          </w:tcPr>
          <w:p>
            <w:pPr>
              <w:spacing w:after="0"/>
            </w:pPr>
            <w:r>
              <w:rPr>
                <w:sz w:val="17"/>
              </w:rPr>
              <w:t>Troubleshooting</w:t>
            </w:r>
          </w:p>
        </w:tc>
        <w:tc>
          <w:tcPr>
            <w:tcW w:type="dxa" w:w="1999"/>
            <w:shd w:fill="FAFAFA"/>
          </w:tcPr>
          <w:p>
            <w:pPr>
              <w:spacing w:after="0"/>
            </w:pPr>
            <w:r>
              <w:rPr>
                <w:sz w:val="17"/>
              </w:rPr>
              <w:t>Minimal and time-limited</w:t>
            </w:r>
          </w:p>
        </w:tc>
        <w:tc>
          <w:tcPr>
            <w:tcW w:type="dxa" w:w="1999"/>
            <w:shd w:fill="FAFAFA"/>
          </w:tcPr>
          <w:p>
            <w:pPr>
              <w:spacing w:after="0"/>
            </w:pPr>
            <w:r>
              <w:rPr>
                <w:sz w:val="17"/>
              </w:rPr>
              <w:t>Only if user explicitly exports, unless third-party SDK has separate diagnostics</w:t>
            </w:r>
          </w:p>
        </w:tc>
      </w:tr>
    </w:tbl>
    <w:p>
      <w:pPr>
        <w:pStyle w:val="Heading1"/>
        <w:keepNext/>
      </w:pPr>
      <w:r>
        <w:t>4. DPIA risk assessment</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71717"/>
          </w:tcPr>
          <w:p>
            <w:r>
              <w:rPr>
                <w:b/>
                <w:color w:val="FFFFFF"/>
                <w:sz w:val="17"/>
              </w:rPr>
              <w:t>Risk</w:t>
            </w:r>
          </w:p>
        </w:tc>
        <w:tc>
          <w:tcPr>
            <w:tcW w:type="dxa" w:w="1999"/>
            <w:shd w:fill="171717"/>
          </w:tcPr>
          <w:p>
            <w:r>
              <w:rPr>
                <w:b/>
                <w:color w:val="FFFFFF"/>
                <w:sz w:val="17"/>
              </w:rPr>
              <w:t>Impact</w:t>
            </w:r>
          </w:p>
        </w:tc>
        <w:tc>
          <w:tcPr>
            <w:tcW w:type="dxa" w:w="1999"/>
            <w:shd w:fill="171717"/>
          </w:tcPr>
          <w:p>
            <w:r>
              <w:rPr>
                <w:b/>
                <w:color w:val="FFFFFF"/>
                <w:sz w:val="17"/>
              </w:rPr>
              <w:t>Likelihood before controls</w:t>
            </w:r>
          </w:p>
        </w:tc>
        <w:tc>
          <w:tcPr>
            <w:tcW w:type="dxa" w:w="1999"/>
            <w:shd w:fill="171717"/>
          </w:tcPr>
          <w:p>
            <w:r>
              <w:rPr>
                <w:b/>
                <w:color w:val="FFFFFF"/>
                <w:sz w:val="17"/>
              </w:rPr>
              <w:t>Controls</w:t>
            </w:r>
          </w:p>
        </w:tc>
        <w:tc>
          <w:tcPr>
            <w:tcW w:type="dxa" w:w="1999"/>
            <w:shd w:fill="171717"/>
          </w:tcPr>
          <w:p>
            <w:r>
              <w:rPr>
                <w:b/>
                <w:color w:val="FFFFFF"/>
                <w:sz w:val="17"/>
              </w:rPr>
              <w:t>Residual</w:t>
            </w:r>
          </w:p>
        </w:tc>
      </w:tr>
      <w:tr>
        <w:tc>
          <w:tcPr>
            <w:tcW w:type="dxa" w:w="1999"/>
          </w:tcPr>
          <w:p>
            <w:pPr>
              <w:spacing w:after="0"/>
            </w:pPr>
            <w:r>
              <w:rPr>
                <w:sz w:val="17"/>
              </w:rPr>
              <w:t>Unintended disclosure of phone/email</w:t>
            </w:r>
          </w:p>
        </w:tc>
        <w:tc>
          <w:tcPr>
            <w:tcW w:type="dxa" w:w="1999"/>
          </w:tcPr>
          <w:p>
            <w:pPr>
              <w:spacing w:after="0"/>
            </w:pPr>
            <w:r>
              <w:rPr>
                <w:sz w:val="17"/>
              </w:rPr>
              <w:t>High</w:t>
            </w:r>
          </w:p>
        </w:tc>
        <w:tc>
          <w:tcPr>
            <w:tcW w:type="dxa" w:w="1999"/>
          </w:tcPr>
          <w:p>
            <w:pPr>
              <w:spacing w:after="0"/>
            </w:pPr>
            <w:r>
              <w:rPr>
                <w:sz w:val="17"/>
              </w:rPr>
              <w:t>Medium</w:t>
            </w:r>
          </w:p>
        </w:tc>
        <w:tc>
          <w:tcPr>
            <w:tcW w:type="dxa" w:w="1999"/>
          </w:tcPr>
          <w:p>
            <w:pPr>
              <w:spacing w:after="0"/>
            </w:pPr>
            <w:r>
              <w:rPr>
                <w:sz w:val="17"/>
              </w:rPr>
              <w:t>Share profiles, field preview, explicit recipient and content consent</w:t>
            </w:r>
          </w:p>
        </w:tc>
        <w:tc>
          <w:tcPr>
            <w:tcW w:type="dxa" w:w="1999"/>
          </w:tcPr>
          <w:p>
            <w:pPr>
              <w:spacing w:after="0"/>
            </w:pPr>
            <w:r>
              <w:rPr>
                <w:sz w:val="17"/>
              </w:rPr>
              <w:t>Low-Medium</w:t>
            </w:r>
          </w:p>
        </w:tc>
      </w:tr>
      <w:tr>
        <w:tc>
          <w:tcPr>
            <w:tcW w:type="dxa" w:w="1999"/>
            <w:shd w:fill="FAFAFA"/>
          </w:tcPr>
          <w:p>
            <w:pPr>
              <w:spacing w:after="0"/>
            </w:pPr>
            <w:r>
              <w:rPr>
                <w:sz w:val="17"/>
              </w:rPr>
              <w:t>Nearby identity exposure</w:t>
            </w:r>
          </w:p>
        </w:tc>
        <w:tc>
          <w:tcPr>
            <w:tcW w:type="dxa" w:w="1999"/>
            <w:shd w:fill="FAFAFA"/>
          </w:tcPr>
          <w:p>
            <w:pPr>
              <w:spacing w:after="0"/>
            </w:pPr>
            <w:r>
              <w:rPr>
                <w:sz w:val="17"/>
              </w:rPr>
              <w:t>Medium</w:t>
            </w:r>
          </w:p>
        </w:tc>
        <w:tc>
          <w:tcPr>
            <w:tcW w:type="dxa" w:w="1999"/>
            <w:shd w:fill="FAFAFA"/>
          </w:tcPr>
          <w:p>
            <w:pPr>
              <w:spacing w:after="0"/>
            </w:pPr>
            <w:r>
              <w:rPr>
                <w:sz w:val="17"/>
              </w:rPr>
              <w:t>Medium</w:t>
            </w:r>
          </w:p>
        </w:tc>
        <w:tc>
          <w:tcPr>
            <w:tcW w:type="dxa" w:w="1999"/>
            <w:shd w:fill="FAFAFA"/>
          </w:tcPr>
          <w:p>
            <w:pPr>
              <w:spacing w:after="0"/>
            </w:pPr>
            <w:r>
              <w:rPr>
                <w:sz w:val="17"/>
              </w:rPr>
              <w:t>Alias only, time-limited visibility, no full profile broadcast</w:t>
            </w:r>
          </w:p>
        </w:tc>
        <w:tc>
          <w:tcPr>
            <w:tcW w:type="dxa" w:w="1999"/>
            <w:shd w:fill="FAFAFA"/>
          </w:tcPr>
          <w:p>
            <w:pPr>
              <w:spacing w:after="0"/>
            </w:pPr>
            <w:r>
              <w:rPr>
                <w:sz w:val="17"/>
              </w:rPr>
              <w:t>Low</w:t>
            </w:r>
          </w:p>
        </w:tc>
      </w:tr>
      <w:tr>
        <w:tc>
          <w:tcPr>
            <w:tcW w:type="dxa" w:w="1999"/>
          </w:tcPr>
          <w:p>
            <w:pPr>
              <w:spacing w:after="0"/>
            </w:pPr>
            <w:r>
              <w:rPr>
                <w:sz w:val="17"/>
              </w:rPr>
              <w:t>Unwanted transfer request</w:t>
            </w:r>
          </w:p>
        </w:tc>
        <w:tc>
          <w:tcPr>
            <w:tcW w:type="dxa" w:w="1999"/>
          </w:tcPr>
          <w:p>
            <w:pPr>
              <w:spacing w:after="0"/>
            </w:pPr>
            <w:r>
              <w:rPr>
                <w:sz w:val="17"/>
              </w:rPr>
              <w:t>Medium</w:t>
            </w:r>
          </w:p>
        </w:tc>
        <w:tc>
          <w:tcPr>
            <w:tcW w:type="dxa" w:w="1999"/>
          </w:tcPr>
          <w:p>
            <w:pPr>
              <w:spacing w:after="0"/>
            </w:pPr>
            <w:r>
              <w:rPr>
                <w:sz w:val="17"/>
              </w:rPr>
              <w:t>Medium-High</w:t>
            </w:r>
          </w:p>
        </w:tc>
        <w:tc>
          <w:tcPr>
            <w:tcW w:type="dxa" w:w="1999"/>
          </w:tcPr>
          <w:p>
            <w:pPr>
              <w:spacing w:after="0"/>
            </w:pPr>
            <w:r>
              <w:rPr>
                <w:sz w:val="17"/>
              </w:rPr>
              <w:t>Verification, decline, block, throttling, limited visibility</w:t>
            </w:r>
          </w:p>
        </w:tc>
        <w:tc>
          <w:tcPr>
            <w:tcW w:type="dxa" w:w="1999"/>
          </w:tcPr>
          <w:p>
            <w:pPr>
              <w:spacing w:after="0"/>
            </w:pPr>
            <w:r>
              <w:rPr>
                <w:sz w:val="17"/>
              </w:rPr>
              <w:t>Low-Medium</w:t>
            </w:r>
          </w:p>
        </w:tc>
      </w:tr>
      <w:tr>
        <w:tc>
          <w:tcPr>
            <w:tcW w:type="dxa" w:w="1999"/>
            <w:shd w:fill="FAFAFA"/>
          </w:tcPr>
          <w:p>
            <w:pPr>
              <w:spacing w:after="0"/>
            </w:pPr>
            <w:r>
              <w:rPr>
                <w:sz w:val="17"/>
              </w:rPr>
              <w:t>Cloud backup contradicts local-only promise</w:t>
            </w:r>
          </w:p>
        </w:tc>
        <w:tc>
          <w:tcPr>
            <w:tcW w:type="dxa" w:w="1999"/>
            <w:shd w:fill="FAFAFA"/>
          </w:tcPr>
          <w:p>
            <w:pPr>
              <w:spacing w:after="0"/>
            </w:pPr>
            <w:r>
              <w:rPr>
                <w:sz w:val="17"/>
              </w:rPr>
              <w:t>High</w:t>
            </w:r>
          </w:p>
        </w:tc>
        <w:tc>
          <w:tcPr>
            <w:tcW w:type="dxa" w:w="1999"/>
            <w:shd w:fill="FAFAFA"/>
          </w:tcPr>
          <w:p>
            <w:pPr>
              <w:spacing w:after="0"/>
            </w:pPr>
            <w:r>
              <w:rPr>
                <w:sz w:val="17"/>
              </w:rPr>
              <w:t>Medium</w:t>
            </w:r>
          </w:p>
        </w:tc>
        <w:tc>
          <w:tcPr>
            <w:tcW w:type="dxa" w:w="1999"/>
            <w:shd w:fill="FAFAFA"/>
          </w:tcPr>
          <w:p>
            <w:pPr>
              <w:spacing w:after="0"/>
            </w:pPr>
            <w:r>
              <w:rPr>
                <w:sz w:val="17"/>
              </w:rPr>
              <w:t>Explicit backup exclusions and release tests</w:t>
            </w:r>
          </w:p>
        </w:tc>
        <w:tc>
          <w:tcPr>
            <w:tcW w:type="dxa" w:w="1999"/>
            <w:shd w:fill="FAFAFA"/>
          </w:tcPr>
          <w:p>
            <w:pPr>
              <w:spacing w:after="0"/>
            </w:pPr>
            <w:r>
              <w:rPr>
                <w:sz w:val="17"/>
              </w:rPr>
              <w:t>Low</w:t>
            </w:r>
          </w:p>
        </w:tc>
      </w:tr>
      <w:tr>
        <w:tc>
          <w:tcPr>
            <w:tcW w:type="dxa" w:w="1999"/>
          </w:tcPr>
          <w:p>
            <w:pPr>
              <w:spacing w:after="0"/>
            </w:pPr>
            <w:r>
              <w:rPr>
                <w:sz w:val="17"/>
              </w:rPr>
              <w:t>Third-party SDK undisclosed processing</w:t>
            </w:r>
          </w:p>
        </w:tc>
        <w:tc>
          <w:tcPr>
            <w:tcW w:type="dxa" w:w="1999"/>
          </w:tcPr>
          <w:p>
            <w:pPr>
              <w:spacing w:after="0"/>
            </w:pPr>
            <w:r>
              <w:rPr>
                <w:sz w:val="17"/>
              </w:rPr>
              <w:t>High</w:t>
            </w:r>
          </w:p>
        </w:tc>
        <w:tc>
          <w:tcPr>
            <w:tcW w:type="dxa" w:w="1999"/>
          </w:tcPr>
          <w:p>
            <w:pPr>
              <w:spacing w:after="0"/>
            </w:pPr>
            <w:r>
              <w:rPr>
                <w:sz w:val="17"/>
              </w:rPr>
              <w:t>Medium</w:t>
            </w:r>
          </w:p>
        </w:tc>
        <w:tc>
          <w:tcPr>
            <w:tcW w:type="dxa" w:w="1999"/>
          </w:tcPr>
          <w:p>
            <w:pPr>
              <w:spacing w:after="0"/>
            </w:pPr>
            <w:r>
              <w:rPr>
                <w:sz w:val="17"/>
              </w:rPr>
              <w:t>SDK register, Data Safety audit, no optional analytics by default</w:t>
            </w:r>
          </w:p>
        </w:tc>
        <w:tc>
          <w:tcPr>
            <w:tcW w:type="dxa" w:w="1999"/>
          </w:tcPr>
          <w:p>
            <w:pPr>
              <w:spacing w:after="0"/>
            </w:pPr>
            <w:r>
              <w:rPr>
                <w:sz w:val="17"/>
              </w:rPr>
              <w:t>Low-Medium</w:t>
            </w:r>
          </w:p>
        </w:tc>
      </w:tr>
      <w:tr>
        <w:tc>
          <w:tcPr>
            <w:tcW w:type="dxa" w:w="1999"/>
            <w:shd w:fill="FAFAFA"/>
          </w:tcPr>
          <w:p>
            <w:pPr>
              <w:spacing w:after="0"/>
            </w:pPr>
            <w:r>
              <w:rPr>
                <w:sz w:val="17"/>
              </w:rPr>
              <w:t>Received malicious file opened</w:t>
            </w:r>
          </w:p>
        </w:tc>
        <w:tc>
          <w:tcPr>
            <w:tcW w:type="dxa" w:w="1999"/>
            <w:shd w:fill="FAFAFA"/>
          </w:tcPr>
          <w:p>
            <w:pPr>
              <w:spacing w:after="0"/>
            </w:pPr>
            <w:r>
              <w:rPr>
                <w:sz w:val="17"/>
              </w:rPr>
              <w:t>Medium-High</w:t>
            </w:r>
          </w:p>
        </w:tc>
        <w:tc>
          <w:tcPr>
            <w:tcW w:type="dxa" w:w="1999"/>
            <w:shd w:fill="FAFAFA"/>
          </w:tcPr>
          <w:p>
            <w:pPr>
              <w:spacing w:after="0"/>
            </w:pPr>
            <w:r>
              <w:rPr>
                <w:sz w:val="17"/>
              </w:rPr>
              <w:t>Medium</w:t>
            </w:r>
          </w:p>
        </w:tc>
        <w:tc>
          <w:tcPr>
            <w:tcW w:type="dxa" w:w="1999"/>
            <w:shd w:fill="FAFAFA"/>
          </w:tcPr>
          <w:p>
            <w:pPr>
              <w:spacing w:after="0"/>
            </w:pPr>
            <w:r>
              <w:rPr>
                <w:sz w:val="17"/>
              </w:rPr>
              <w:t>No auto-execute, safe intents, MIME checks and user action</w:t>
            </w:r>
          </w:p>
        </w:tc>
        <w:tc>
          <w:tcPr>
            <w:tcW w:type="dxa" w:w="1999"/>
            <w:shd w:fill="FAFAFA"/>
          </w:tcPr>
          <w:p>
            <w:pPr>
              <w:spacing w:after="0"/>
            </w:pPr>
            <w:r>
              <w:rPr>
                <w:sz w:val="17"/>
              </w:rPr>
              <w:t>Low-Medium</w:t>
            </w:r>
          </w:p>
        </w:tc>
      </w:tr>
    </w:tbl>
    <w:p>
      <w:pPr>
        <w:pStyle w:val="Heading1"/>
        <w:keepNext/>
      </w:pPr>
      <w:r>
        <w:t>5. Data subject/user controls</w:t>
      </w:r>
    </w:p>
    <w:p>
      <w:pPr>
        <w:pStyle w:val="ListBullet"/>
      </w:pPr>
      <w:r>
        <w:t>Edit/delete Nod Profile.</w:t>
      </w:r>
    </w:p>
    <w:p>
      <w:pPr>
        <w:pStyle w:val="ListBullet"/>
      </w:pPr>
      <w:r>
        <w:t>Choose fields for each share.</w:t>
      </w:r>
    </w:p>
    <w:p>
      <w:pPr>
        <w:pStyle w:val="ListBullet"/>
      </w:pPr>
      <w:r>
        <w:t>Decline any connection or payload.</w:t>
      </w:r>
    </w:p>
    <w:p>
      <w:pPr>
        <w:pStyle w:val="ListBullet"/>
      </w:pPr>
      <w:r>
        <w:t>Clear transfer history.</w:t>
      </w:r>
    </w:p>
    <w:p>
      <w:pPr>
        <w:pStyle w:val="ListBullet"/>
      </w:pPr>
      <w:r>
        <w:t>Block peers.</w:t>
      </w:r>
    </w:p>
    <w:p>
      <w:pPr>
        <w:pStyle w:val="ListBullet"/>
      </w:pPr>
      <w:r>
        <w:t>Disable Always Ready/Shake to Nod.</w:t>
      </w:r>
    </w:p>
    <w:p>
      <w:pPr>
        <w:pStyle w:val="ListBullet"/>
      </w:pPr>
      <w:r>
        <w:t>Revoke Android permissions through system settings.</w:t>
      </w:r>
    </w:p>
    <w:p>
      <w:pPr>
        <w:pStyle w:val="ListBullet"/>
      </w:pPr>
      <w:r>
        <w:t>Uninstall app to remove app-local data, subject to platform backup/device-transfer behavior configured by Nod.</w:t>
      </w:r>
    </w:p>
    <w:p>
      <w:pPr>
        <w:pStyle w:val="Heading1"/>
        <w:keepNext/>
      </w:pPr>
      <w:r>
        <w:t>6. Retention policy</w:t>
      </w:r>
    </w:p>
    <w:tbl>
      <w:tblPr>
        <w:tblStyle w:val="TableGrid"/>
        <w:tblW w:type="auto" w:w="0"/>
        <w:jc w:val="center"/>
        <w:tblLook w:firstColumn="1" w:firstRow="1" w:lastColumn="0" w:lastRow="0" w:noHBand="0" w:noVBand="1" w:val="04A0"/>
      </w:tblPr>
      <w:tblGrid>
        <w:gridCol w:w="4997"/>
        <w:gridCol w:w="4997"/>
      </w:tblGrid>
      <w:tr>
        <w:tc>
          <w:tcPr>
            <w:tcW w:type="dxa" w:w="4997"/>
            <w:shd w:fill="171717"/>
          </w:tcPr>
          <w:p>
            <w:r>
              <w:rPr>
                <w:b/>
                <w:color w:val="FFFFFF"/>
                <w:sz w:val="17"/>
              </w:rPr>
              <w:t>Category</w:t>
            </w:r>
          </w:p>
        </w:tc>
        <w:tc>
          <w:tcPr>
            <w:tcW w:type="dxa" w:w="4997"/>
            <w:shd w:fill="171717"/>
          </w:tcPr>
          <w:p>
            <w:r>
              <w:rPr>
                <w:b/>
                <w:color w:val="FFFFFF"/>
                <w:sz w:val="17"/>
              </w:rPr>
              <w:t>Default retention</w:t>
            </w:r>
          </w:p>
        </w:tc>
      </w:tr>
      <w:tr>
        <w:tc>
          <w:tcPr>
            <w:tcW w:type="dxa" w:w="4997"/>
          </w:tcPr>
          <w:p>
            <w:pPr>
              <w:spacing w:after="0"/>
            </w:pPr>
            <w:r>
              <w:rPr>
                <w:sz w:val="17"/>
              </w:rPr>
              <w:t>Nod Profile</w:t>
            </w:r>
          </w:p>
        </w:tc>
        <w:tc>
          <w:tcPr>
            <w:tcW w:type="dxa" w:w="4997"/>
          </w:tcPr>
          <w:p>
            <w:pPr>
              <w:spacing w:after="0"/>
            </w:pPr>
            <w:r>
              <w:rPr>
                <w:sz w:val="17"/>
              </w:rPr>
              <w:t>Until user deletes/edits or app is uninstalled.</w:t>
            </w:r>
          </w:p>
        </w:tc>
      </w:tr>
      <w:tr>
        <w:tc>
          <w:tcPr>
            <w:tcW w:type="dxa" w:w="4997"/>
            <w:shd w:fill="FAFAFA"/>
          </w:tcPr>
          <w:p>
            <w:pPr>
              <w:spacing w:after="0"/>
            </w:pPr>
            <w:r>
              <w:rPr>
                <w:sz w:val="17"/>
              </w:rPr>
              <w:t>Share Profiles</w:t>
            </w:r>
          </w:p>
        </w:tc>
        <w:tc>
          <w:tcPr>
            <w:tcW w:type="dxa" w:w="4997"/>
            <w:shd w:fill="FAFAFA"/>
          </w:tcPr>
          <w:p>
            <w:pPr>
              <w:spacing w:after="0"/>
            </w:pPr>
            <w:r>
              <w:rPr>
                <w:sz w:val="17"/>
              </w:rPr>
              <w:t>Until user deletes/edits.</w:t>
            </w:r>
          </w:p>
        </w:tc>
      </w:tr>
      <w:tr>
        <w:tc>
          <w:tcPr>
            <w:tcW w:type="dxa" w:w="4997"/>
          </w:tcPr>
          <w:p>
            <w:pPr>
              <w:spacing w:after="0"/>
            </w:pPr>
            <w:r>
              <w:rPr>
                <w:sz w:val="17"/>
              </w:rPr>
              <w:t>Pending received contact</w:t>
            </w:r>
          </w:p>
        </w:tc>
        <w:tc>
          <w:tcPr>
            <w:tcW w:type="dxa" w:w="4997"/>
          </w:tcPr>
          <w:p>
            <w:pPr>
              <w:spacing w:after="0"/>
            </w:pPr>
            <w:r>
              <w:rPr>
                <w:sz w:val="17"/>
              </w:rPr>
              <w:t>Session only unless user saves it.</w:t>
            </w:r>
          </w:p>
        </w:tc>
      </w:tr>
      <w:tr>
        <w:tc>
          <w:tcPr>
            <w:tcW w:type="dxa" w:w="4997"/>
            <w:shd w:fill="FAFAFA"/>
          </w:tcPr>
          <w:p>
            <w:pPr>
              <w:spacing w:after="0"/>
            </w:pPr>
            <w:r>
              <w:rPr>
                <w:sz w:val="17"/>
              </w:rPr>
              <w:t>Incomplete file</w:t>
            </w:r>
          </w:p>
        </w:tc>
        <w:tc>
          <w:tcPr>
            <w:tcW w:type="dxa" w:w="4997"/>
            <w:shd w:fill="FAFAFA"/>
          </w:tcPr>
          <w:p>
            <w:pPr>
              <w:spacing w:after="0"/>
            </w:pPr>
            <w:r>
              <w:rPr>
                <w:sz w:val="17"/>
              </w:rPr>
              <w:t>Until transfer terminates; cleanup immediately or on next maintenance pass.</w:t>
            </w:r>
          </w:p>
        </w:tc>
      </w:tr>
      <w:tr>
        <w:tc>
          <w:tcPr>
            <w:tcW w:type="dxa" w:w="4997"/>
          </w:tcPr>
          <w:p>
            <w:pPr>
              <w:spacing w:after="0"/>
            </w:pPr>
            <w:r>
              <w:rPr>
                <w:sz w:val="17"/>
              </w:rPr>
              <w:t>Transfer history</w:t>
            </w:r>
          </w:p>
        </w:tc>
        <w:tc>
          <w:tcPr>
            <w:tcW w:type="dxa" w:w="4997"/>
          </w:tcPr>
          <w:p>
            <w:pPr>
              <w:spacing w:after="0"/>
            </w:pPr>
            <w:r>
              <w:rPr>
                <w:sz w:val="17"/>
              </w:rPr>
              <w:t>Local until user clears; product may define a default rolling period before release.</w:t>
            </w:r>
          </w:p>
        </w:tc>
      </w:tr>
      <w:tr>
        <w:tc>
          <w:tcPr>
            <w:tcW w:type="dxa" w:w="4997"/>
            <w:shd w:fill="FAFAFA"/>
          </w:tcPr>
          <w:p>
            <w:pPr>
              <w:spacing w:after="0"/>
            </w:pPr>
            <w:r>
              <w:rPr>
                <w:sz w:val="17"/>
              </w:rPr>
              <w:t>Blocklist</w:t>
            </w:r>
          </w:p>
        </w:tc>
        <w:tc>
          <w:tcPr>
            <w:tcW w:type="dxa" w:w="4997"/>
            <w:shd w:fill="FAFAFA"/>
          </w:tcPr>
          <w:p>
            <w:pPr>
              <w:spacing w:after="0"/>
            </w:pPr>
            <w:r>
              <w:rPr>
                <w:sz w:val="17"/>
              </w:rPr>
              <w:t>Until user unblocks or clears app data.</w:t>
            </w:r>
          </w:p>
        </w:tc>
      </w:tr>
      <w:tr>
        <w:tc>
          <w:tcPr>
            <w:tcW w:type="dxa" w:w="4997"/>
          </w:tcPr>
          <w:p>
            <w:pPr>
              <w:spacing w:after="0"/>
            </w:pPr>
            <w:r>
              <w:rPr>
                <w:sz w:val="17"/>
              </w:rPr>
              <w:t>Diagnostics</w:t>
            </w:r>
          </w:p>
        </w:tc>
        <w:tc>
          <w:tcPr>
            <w:tcW w:type="dxa" w:w="4997"/>
          </w:tcPr>
          <w:p>
            <w:pPr>
              <w:spacing w:after="0"/>
            </w:pPr>
            <w:r>
              <w:rPr>
                <w:sz w:val="17"/>
              </w:rPr>
              <w:t>No central diagnostics by default; exported support package generated only by explicit user action.</w:t>
            </w:r>
          </w:p>
        </w:tc>
      </w:tr>
    </w:tbl>
    <w:p>
      <w:pPr>
        <w:pStyle w:val="Heading1"/>
        <w:keepNext/>
      </w:pPr>
      <w:r>
        <w:t>7. Compliance actions before launch</w:t>
      </w:r>
    </w:p>
    <w:p>
      <w:pPr>
        <w:pStyle w:val="ListBullet"/>
      </w:pPr>
      <w:r>
        <w:t>Determine operator role and whether NDPC registration/CAR obligations apply at actual processing scale.</w:t>
      </w:r>
    </w:p>
    <w:p>
      <w:pPr>
        <w:pStyle w:val="ListBullet"/>
      </w:pPr>
      <w:r>
        <w:t>Complete DPIA with final release build and SDK inventory.</w:t>
      </w:r>
    </w:p>
    <w:p>
      <w:pPr>
        <w:pStyle w:val="ListBullet"/>
      </w:pPr>
      <w:r>
        <w:t>Publish Privacy Policy at stable URL and in-app.</w:t>
      </w:r>
    </w:p>
    <w:p>
      <w:pPr>
        <w:pStyle w:val="ListBullet"/>
      </w:pPr>
      <w:r>
        <w:t>Complete Play Data Safety section accurately and keep synchronized with code and SDK changes.</w:t>
      </w:r>
    </w:p>
    <w:p>
      <w:pPr>
        <w:pStyle w:val="ListBullet"/>
      </w:pPr>
      <w:r>
        <w:t>Document lawful basis/consent mechanics with Nigerian counsel where personal data is processed by the operator rather than solely on device.</w:t>
      </w:r>
    </w:p>
    <w:p>
      <w:pPr>
        <w:pStyle w:val="Heading1"/>
        <w:keepNext/>
      </w:pPr>
      <w:r>
        <w:t>Authoritative references</w:t>
      </w:r>
    </w:p>
    <w:p>
      <w:r>
        <w:t>These links are included for implementation and legal review. Requirements can change; verify them again immediately before release.</w:t>
      </w:r>
    </w:p>
    <w:p>
      <w:pPr>
        <w:pStyle w:val="ListBullet"/>
      </w:pPr>
      <w:r>
        <w:rPr>
          <w:b/>
        </w:rPr>
        <w:t xml:space="preserve">Nigeria Data Protection Act 2023: </w:t>
      </w:r>
      <w:r>
        <w:t>https://ndpc.gov.ng/download/nigeria-data-protection-act-2023</w:t>
      </w:r>
    </w:p>
    <w:p>
      <w:pPr>
        <w:pStyle w:val="ListBullet"/>
      </w:pPr>
      <w:r>
        <w:rPr>
          <w:b/>
        </w:rPr>
        <w:t xml:space="preserve">NDP Act General Application and Implementation Directive (GAID) 2025: </w:t>
      </w:r>
      <w:r>
        <w:t>https://ndpc.gov.ng/wp-content/uploads/2025/07/NDP-ACT-GAID-2025-MARCH-20TH.pdf</w:t>
      </w:r>
    </w:p>
    <w:p>
      <w:pPr>
        <w:pStyle w:val="ListBullet"/>
      </w:pPr>
      <w:r>
        <w:rPr>
          <w:b/>
        </w:rPr>
        <w:t xml:space="preserve">Nigeria Data Protection Commission resources: </w:t>
      </w:r>
      <w:r>
        <w:t>https://ndpc.gov.ng/resources/</w:t>
      </w:r>
    </w:p>
    <w:p>
      <w:pPr>
        <w:pStyle w:val="ListBullet"/>
      </w:pPr>
      <w:r>
        <w:rPr>
          <w:b/>
        </w:rPr>
        <w:t xml:space="preserve">Copyright Act 2022 - Nigerian Copyright Commission: </w:t>
      </w:r>
      <w:r>
        <w:t>https://www.copyright.gov.ng/CopyrightAct/</w:t>
      </w:r>
    </w:p>
    <w:p>
      <w:pPr>
        <w:pStyle w:val="ListBullet"/>
      </w:pPr>
      <w:r>
        <w:rPr>
          <w:b/>
        </w:rPr>
        <w:t xml:space="preserve">Nigerian Copyright eRegistration System: </w:t>
      </w:r>
      <w:r>
        <w:t>https://eregistration.copyright.gov.ng/</w:t>
      </w:r>
    </w:p>
    <w:p>
      <w:pPr>
        <w:pStyle w:val="ListBullet"/>
      </w:pPr>
      <w:r>
        <w:rPr>
          <w:b/>
        </w:rPr>
        <w:t xml:space="preserve">Google Play - User Data policy: </w:t>
      </w:r>
      <w:r>
        <w:t>https://support.google.com/googleplay/android-developer/answer/10144311</w:t>
      </w:r>
    </w:p>
    <w:p>
      <w:pPr>
        <w:pStyle w:val="ListBullet"/>
      </w:pPr>
      <w:r>
        <w:rPr>
          <w:b/>
        </w:rPr>
        <w:t xml:space="preserve">Google Play - Prepare your app for review: </w:t>
      </w:r>
      <w:r>
        <w:t>https://support.google.com/googleplay/android-developer/answer/9859455</w:t>
      </w:r>
    </w:p>
    <w:p>
      <w:pPr>
        <w:pStyle w:val="ListBullet"/>
      </w:pPr>
      <w:r>
        <w:rPr>
          <w:b/>
        </w:rPr>
        <w:t xml:space="preserve">Google Play - Target API requirements: </w:t>
      </w:r>
      <w:r>
        <w:t>https://support.google.com/googleplay/android-developer/answer/11926878</w:t>
      </w:r>
    </w:p>
    <w:p>
      <w:pPr>
        <w:pStyle w:val="ListBullet"/>
      </w:pPr>
      <w:r>
        <w:rPr>
          <w:b/>
        </w:rPr>
        <w:t xml:space="preserve">Google Play - Foreground service requirements: </w:t>
      </w:r>
      <w:r>
        <w:t>https://support.google.com/googleplay/android-developer/answer/13392821</w:t>
      </w:r>
    </w:p>
    <w:sectPr w:rsidR="00FC693F" w:rsidRPr="0006063C" w:rsidSect="00034616">
      <w:headerReference w:type="default" r:id="rId9"/>
      <w:footerReference w:type="default" r:id="rId10"/>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 xml:space="preserve">Nod - Closer. Faster. Yours.   |   Version 1.0   |   Controlled Draft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078992" cy="488115"/>
          <wp:docPr id="1" name="Picture 1"/>
          <wp:cNvGraphicFramePr>
            <a:graphicFrameLocks noChangeAspect="1"/>
          </wp:cNvGraphicFramePr>
          <a:graphic>
            <a:graphicData uri="http://schemas.openxmlformats.org/drawingml/2006/picture">
              <pic:pic>
                <pic:nvPicPr>
                  <pic:cNvPr id="0" name="nod_logo_crop.png"/>
                  <pic:cNvPicPr/>
                </pic:nvPicPr>
                <pic:blipFill>
                  <a:blip r:embed="rId1"/>
                  <a:stretch>
                    <a:fillRect/>
                  </a:stretch>
                </pic:blipFill>
                <pic:spPr>
                  <a:xfrm>
                    <a:off x="0" y="0"/>
                    <a:ext cx="1078992" cy="488115"/>
                  </a:xfrm>
                  <a:prstGeom prst="rect"/>
                </pic:spPr>
              </pic:pic>
            </a:graphicData>
          </a:graphic>
        </wp:inline>
      </w:drawing>
    </w:r>
    <w:r>
      <w:rPr>
        <w:b/>
        <w:color w:val="6B7280"/>
        <w:sz w:val="18"/>
      </w:rPr>
      <w:t xml:space="preserve">    Privacy, DPIA, Data Governance &amp; Retention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17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17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17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dLabel">
    <w:name w:val="Nod Label"/>
    <w:rPr>
      <w:rFonts w:ascii="Arial" w:hAnsi="Arial"/>
      <w:b/>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