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40280" cy="1013460"/>
            <wp:docPr id="1" name="Picture 1"/>
            <wp:cNvGraphicFramePr>
              <a:graphicFrameLocks noChangeAspect="1"/>
            </wp:cNvGraphicFramePr>
            <a:graphic>
              <a:graphicData uri="http://schemas.openxmlformats.org/drawingml/2006/picture">
                <pic:pic>
                  <pic:nvPicPr>
                    <pic:cNvPr id="0" name="nod_logo_crop.png"/>
                    <pic:cNvPicPr/>
                  </pic:nvPicPr>
                  <pic:blipFill>
                    <a:blip r:embed="rId11"/>
                    <a:stretch>
                      <a:fillRect/>
                    </a:stretch>
                  </pic:blipFill>
                  <pic:spPr>
                    <a:xfrm>
                      <a:off x="0" y="0"/>
                      <a:ext cx="2240280" cy="1013460"/>
                    </a:xfrm>
                    <a:prstGeom prst="rect"/>
                  </pic:spPr>
                </pic:pic>
              </a:graphicData>
            </a:graphic>
          </wp:inline>
        </w:drawing>
      </w:r>
    </w:p>
    <w:p>
      <w:pPr>
        <w:spacing w:after="120"/>
        <w:jc w:val="center"/>
      </w:pPr>
      <w:r>
        <w:rPr>
          <w:b/>
          <w:color w:val="171717"/>
          <w:sz w:val="18"/>
        </w:rPr>
        <w:t>PUBLIC POLICY DRAFT</w:t>
      </w:r>
    </w:p>
    <w:tbl>
      <w:tblPr>
        <w:tblW w:type="auto" w:w="0"/>
        <w:jc w:val="center"/>
        <w:tblLayout w:type="fixed"/>
        <w:tblLook w:firstColumn="1" w:firstRow="1" w:lastColumn="0" w:lastRow="0" w:noHBand="0" w:noVBand="1" w:val="04A0"/>
      </w:tblPr>
      <w:tblGrid>
        <w:gridCol w:w="8352"/>
      </w:tblGrid>
      <w:tr>
        <w:tc>
          <w:tcPr>
            <w:tcW w:type="dxa" w:w="9994"/>
            <w:shd w:fill="BFFF00"/>
          </w:tcPr>
          <w:p>
            <w:r/>
          </w:p>
        </w:tc>
      </w:tr>
    </w:tbl>
    <w:p>
      <w:pPr>
        <w:pStyle w:val="Title"/>
        <w:jc w:val="center"/>
      </w:pPr>
      <w:r>
        <w:t>Privacy Policy</w:t>
      </w:r>
    </w:p>
    <w:p>
      <w:pPr>
        <w:jc w:val="center"/>
      </w:pPr>
      <w:r>
        <w:rPr>
          <w:color w:val="6B7280"/>
          <w:sz w:val="24"/>
        </w:rPr>
        <w:t>Public-facing draft for Nod Android application</w:t>
      </w:r>
    </w:p>
    <w:tbl>
      <w:tblPr>
        <w:tblStyle w:val="TableGrid"/>
        <w:tblW w:type="auto" w:w="0"/>
        <w:jc w:val="center"/>
        <w:tblLook w:firstColumn="1" w:firstRow="1" w:lastColumn="0" w:lastRow="0" w:noHBand="0" w:noVBand="1" w:val="04A0"/>
      </w:tblPr>
      <w:tblGrid>
        <w:gridCol w:w="4997"/>
        <w:gridCol w:w="4997"/>
      </w:tblGrid>
      <w:tr>
        <w:tc>
          <w:tcPr>
            <w:tcW w:type="dxa" w:w="4997"/>
            <w:shd w:fill="F4FFE6"/>
            <w:vAlign w:val="center"/>
          </w:tcPr>
          <w:p>
            <w:pPr>
              <w:spacing w:after="0"/>
            </w:pPr>
            <w:r>
              <w:rPr>
                <w:sz w:val="18"/>
              </w:rPr>
              <w:t>Product</w:t>
            </w:r>
          </w:p>
        </w:tc>
        <w:tc>
          <w:tcPr>
            <w:tcW w:type="dxa" w:w="4997"/>
            <w:vAlign w:val="center"/>
          </w:tcPr>
          <w:p>
            <w:pPr>
              <w:spacing w:after="0"/>
            </w:pPr>
            <w:r>
              <w:rPr>
                <w:sz w:val="18"/>
              </w:rPr>
              <w:t>Nod</w:t>
            </w:r>
          </w:p>
        </w:tc>
      </w:tr>
      <w:tr>
        <w:tc>
          <w:tcPr>
            <w:tcW w:type="dxa" w:w="4997"/>
            <w:shd w:fill="F4FFE6"/>
            <w:vAlign w:val="center"/>
          </w:tcPr>
          <w:p>
            <w:pPr>
              <w:spacing w:after="0"/>
            </w:pPr>
            <w:r>
              <w:rPr>
                <w:sz w:val="18"/>
              </w:rPr>
              <w:t>Document version</w:t>
            </w:r>
          </w:p>
        </w:tc>
        <w:tc>
          <w:tcPr>
            <w:tcW w:type="dxa" w:w="4997"/>
            <w:vAlign w:val="center"/>
          </w:tcPr>
          <w:p>
            <w:pPr>
              <w:spacing w:after="0"/>
            </w:pPr>
            <w:r>
              <w:rPr>
                <w:sz w:val="18"/>
              </w:rPr>
              <w:t>1.0</w:t>
            </w:r>
          </w:p>
        </w:tc>
      </w:tr>
      <w:tr>
        <w:tc>
          <w:tcPr>
            <w:tcW w:type="dxa" w:w="4997"/>
            <w:shd w:fill="F4FFE6"/>
            <w:vAlign w:val="center"/>
          </w:tcPr>
          <w:p>
            <w:pPr>
              <w:spacing w:after="0"/>
            </w:pPr>
            <w:r>
              <w:rPr>
                <w:sz w:val="18"/>
              </w:rPr>
              <w:t>Date</w:t>
            </w:r>
          </w:p>
        </w:tc>
        <w:tc>
          <w:tcPr>
            <w:tcW w:type="dxa" w:w="4997"/>
            <w:vAlign w:val="center"/>
          </w:tcPr>
          <w:p>
            <w:pPr>
              <w:spacing w:after="0"/>
            </w:pPr>
            <w:r>
              <w:rPr>
                <w:sz w:val="18"/>
              </w:rPr>
              <w:t>19 September 2026</w:t>
            </w:r>
          </w:p>
        </w:tc>
      </w:tr>
      <w:tr>
        <w:tc>
          <w:tcPr>
            <w:tcW w:type="dxa" w:w="4997"/>
            <w:shd w:fill="F4FFE6"/>
            <w:vAlign w:val="center"/>
          </w:tcPr>
          <w:p>
            <w:pPr>
              <w:spacing w:after="0"/>
            </w:pPr>
            <w:r>
              <w:rPr>
                <w:sz w:val="18"/>
              </w:rPr>
              <w:t>Owner / operator</w:t>
            </w:r>
          </w:p>
        </w:tc>
        <w:tc>
          <w:tcPr>
            <w:tcW w:type="dxa" w:w="4997"/>
            <w:vAlign w:val="center"/>
          </w:tcPr>
          <w:p>
            <w:pPr>
              <w:spacing w:after="0"/>
            </w:pPr>
            <w:r>
              <w:rPr>
                <w:sz w:val="18"/>
              </w:rPr>
              <w:t>[NOD OWNER / LEGAL ENTITY]</w:t>
            </w:r>
          </w:p>
        </w:tc>
      </w:tr>
      <w:tr>
        <w:tc>
          <w:tcPr>
            <w:tcW w:type="dxa" w:w="4997"/>
            <w:shd w:fill="F4FFE6"/>
            <w:vAlign w:val="center"/>
          </w:tcPr>
          <w:p>
            <w:pPr>
              <w:spacing w:after="0"/>
            </w:pPr>
            <w:r>
              <w:rPr>
                <w:sz w:val="18"/>
              </w:rPr>
              <w:t>Status</w:t>
            </w:r>
          </w:p>
        </w:tc>
        <w:tc>
          <w:tcPr>
            <w:tcW w:type="dxa" w:w="4997"/>
            <w:vAlign w:val="center"/>
          </w:tcPr>
          <w:p>
            <w:pPr>
              <w:spacing w:after="0"/>
            </w:pPr>
            <w:r>
              <w:rPr>
                <w:sz w:val="18"/>
              </w:rPr>
              <w:t>Public Policy Draft</w:t>
            </w:r>
          </w:p>
        </w:tc>
      </w:tr>
    </w:tbl>
    <w:p/>
    <w:p>
      <w:r>
        <w:rPr>
          <w:b/>
        </w:rPr>
        <w:t xml:space="preserve">Release note: </w:t>
      </w:r>
      <w:r>
        <w:t>This pack is a production-ready baseline. Bracketed operator details must be completed before public release. Legal documents should be reviewed by Nigerian counsel before publication or execution.</w:t>
      </w:r>
    </w:p>
    <w:p>
      <w:r>
        <w:br w:type="page"/>
      </w:r>
    </w:p>
    <w:tbl>
      <w:tblPr>
        <w:tblW w:type="auto" w:w="0"/>
        <w:jc w:val="center"/>
        <w:tblLook w:firstColumn="1" w:firstRow="1" w:lastColumn="0" w:lastRow="0" w:noHBand="0" w:noVBand="1" w:val="04A0"/>
      </w:tblPr>
      <w:tblGrid>
        <w:gridCol w:w="9994"/>
      </w:tblGrid>
      <w:tr>
        <w:tc>
          <w:tcPr>
            <w:tcW w:type="dxa" w:w="9994"/>
            <w:shd w:fill="FFF4D6"/>
            <w:tcBorders>
              <w:left w:val="single" w:sz="18" w:color="BFFF00"/>
            </w:tcBorders>
          </w:tcPr>
          <w:p>
            <w:r>
              <w:rPr>
                <w:b/>
                <w:color w:val="171717"/>
              </w:rPr>
              <w:t>Complete before publishing</w:t>
              <w:br/>
            </w:r>
            <w:r>
              <w:t>Replace all bracketed operator details, confirm the final SDK list and have the policy reviewed by counsel. Public URL: [PUBLIC WEBSITE / POLICY URL].</w:t>
            </w:r>
          </w:p>
        </w:tc>
      </w:tr>
    </w:tbl>
    <w:p>
      <w:pPr>
        <w:pStyle w:val="Heading1"/>
        <w:keepNext/>
      </w:pPr>
      <w:r>
        <w:t>1. Who we are</w:t>
      </w:r>
    </w:p>
    <w:p>
      <w:r>
        <w:t>Nod is operated by [NOD OWNER / LEGAL ENTITY], with registered address at [REGISTERED ADDRESS]. Privacy questions can be sent to [PRIVACY EMAIL / DPO CONTACT].</w:t>
      </w:r>
    </w:p>
    <w:p>
      <w:pPr>
        <w:pStyle w:val="Heading1"/>
        <w:keepNext/>
      </w:pPr>
      <w:r>
        <w:t>2. What Nod is designed to do</w:t>
      </w:r>
    </w:p>
    <w:p>
      <w:r>
        <w:t>Nod helps nearby Android users discover one another, verify a direct connection and exchange selected contact details and files. The core v1 product does not require a Nod account or a Nod-operated cloud content server for nearby exchange.</w:t>
      </w:r>
    </w:p>
    <w:p>
      <w:pPr>
        <w:pStyle w:val="Heading1"/>
        <w:keepNext/>
      </w:pPr>
      <w:r>
        <w:t>3. Information Nod handles</w:t>
      </w:r>
    </w:p>
    <w:p>
      <w:pPr>
        <w:pStyle w:val="ListBullet"/>
      </w:pPr>
      <w:r>
        <w:t>Profile information you choose to enter or import, such as your display name, photo, phone number, email address, company, job title, website or other optional sharing fields.</w:t>
      </w:r>
    </w:p>
    <w:p>
      <w:pPr>
        <w:pStyle w:val="ListBullet"/>
      </w:pPr>
      <w:r>
        <w:t>Nearby alias, temporary peer/session identifiers and connection state needed to discover and connect devices.</w:t>
      </w:r>
    </w:p>
    <w:p>
      <w:pPr>
        <w:pStyle w:val="ListBullet"/>
      </w:pPr>
      <w:r>
        <w:t>Contact fields and files you explicitly choose to send or receive.</w:t>
      </w:r>
    </w:p>
    <w:p>
      <w:pPr>
        <w:pStyle w:val="ListBullet"/>
      </w:pPr>
      <w:r>
        <w:t>Camera frames/text candidates while you use the number scanner. Nod is designed to process scanner input locally and to let you review the result.</w:t>
      </w:r>
    </w:p>
    <w:p>
      <w:pPr>
        <w:pStyle w:val="ListBullet"/>
      </w:pPr>
      <w:r>
        <w:t>Accelerometer/sensor events while Shake to Nod is enabled. These events are used to recognize the gesture and are not intended to become a movement history.</w:t>
      </w:r>
    </w:p>
    <w:p>
      <w:pPr>
        <w:pStyle w:val="ListBullet"/>
      </w:pPr>
      <w:r>
        <w:t>Local transfer-history metadata, such as direction, content category, item count, peer alias, time, status and byte count.</w:t>
      </w:r>
    </w:p>
    <w:p>
      <w:pPr>
        <w:pStyle w:val="ListBullet"/>
      </w:pPr>
      <w:r>
        <w:t>Android permission and capability states needed to enable features.</w:t>
      </w:r>
    </w:p>
    <w:p>
      <w:pPr>
        <w:pStyle w:val="Heading1"/>
        <w:keepNext/>
      </w:pPr>
      <w:r>
        <w:t>4. Where information is stored</w:t>
      </w:r>
    </w:p>
    <w:p>
      <w:r>
        <w:t>Your Nod Profile and settings are intended to be stored in Nod’s private storage on your device. Sensitive profile fields should be encrypted using device-protected keys. Nod is designed to exclude sensitive identity material from ordinary platform cloud backup where technically applicable. Files you successfully receive are saved to Android-managed user storage only after the applicable receive/finalization flow.</w:t>
      </w:r>
    </w:p>
    <w:p>
      <w:pPr>
        <w:pStyle w:val="Heading1"/>
        <w:keepNext/>
      </w:pPr>
      <w:r>
        <w:t>5. Sharing with another Nod user</w:t>
      </w:r>
    </w:p>
    <w:p>
      <w:r>
        <w:t>When you choose to share, the selected information is transmitted to the nearby device you approve. Connecting to a device is separate from approving a specific contact or file transfer. Nod does not intend to broadcast your full contact profile merely to make you discoverable.</w:t>
      </w:r>
    </w:p>
    <w:p>
      <w:pPr>
        <w:pStyle w:val="Heading1"/>
        <w:keepNext/>
      </w:pPr>
      <w:r>
        <w:t>6. Third-party platform services</w:t>
      </w:r>
    </w:p>
    <w:p>
      <w:r>
        <w:t>Nod may rely on Android, Google Play services and bundled libraries to provide nearby connectivity, on-device recognition, app distribution, crash/security functions or other platform capabilities. Those providers may process technical or diagnostic information under their own terms. The exact production SDK inventory and Google Play Data Safety disclosures must match the released build. Nod will update this policy if material processing changes.</w:t>
      </w:r>
    </w:p>
    <w:p>
      <w:pPr>
        <w:pStyle w:val="Heading1"/>
        <w:keepNext/>
      </w:pPr>
      <w:r>
        <w:t>7. Permissions</w:t>
      </w:r>
    </w:p>
    <w:p>
      <w:r>
        <w:t>Depending on your Android version and the feature you use, Nod may request access relating to nearby devices/Bluetooth/Wi-Fi or legacy location, contacts, camera, selected photos/media or documents, notifications and foreground-service capabilities. Permissions are requested for stated features and can be changed in Android settings. Denying one permission should not disable unrelated features where technically possible.</w:t>
      </w:r>
    </w:p>
    <w:p>
      <w:pPr>
        <w:pStyle w:val="Heading1"/>
        <w:keepNext/>
      </w:pPr>
      <w:r>
        <w:t>8. Retention</w:t>
      </w:r>
    </w:p>
    <w:p>
      <w:pPr>
        <w:pStyle w:val="ListBullet"/>
      </w:pPr>
      <w:r>
        <w:t>Nod Profile and Share Profiles: until you edit/delete them, clear app data or uninstall Nod, subject to platform behavior.</w:t>
      </w:r>
    </w:p>
    <w:p>
      <w:pPr>
        <w:pStyle w:val="ListBullet"/>
      </w:pPr>
      <w:r>
        <w:t>Incomplete incoming files: temporary and deleted after failure/cancellation/cleanup.</w:t>
      </w:r>
    </w:p>
    <w:p>
      <w:pPr>
        <w:pStyle w:val="ListBullet"/>
      </w:pPr>
      <w:r>
        <w:t>Pending received contact data: used for the receive/save flow and not intended as a separate permanent address book.</w:t>
      </w:r>
    </w:p>
    <w:p>
      <w:pPr>
        <w:pStyle w:val="ListBullet"/>
      </w:pPr>
      <w:r>
        <w:t>Transfer history: stored locally until cleared or according to the product retention setting published in the final app.</w:t>
      </w:r>
    </w:p>
    <w:p>
      <w:pPr>
        <w:pStyle w:val="ListBullet"/>
      </w:pPr>
      <w:r>
        <w:t>No Nod-operated central content archive is intended for v1 nearby transfers.</w:t>
      </w:r>
    </w:p>
    <w:p>
      <w:pPr>
        <w:pStyle w:val="Heading1"/>
        <w:keepNext/>
      </w:pPr>
      <w:r>
        <w:t>9. Your choices and rights</w:t>
      </w:r>
    </w:p>
    <w:p>
      <w:r>
        <w:t>You can edit or delete your local profile, choose which fields to share, decline transfers, clear local history, block peers, disable Shake to Nod/Always Ready, revoke Android permissions and uninstall the app. Where the operator processes personal data subject to applicable law, you may also exercise statutory data protection rights by contacting the privacy address above.</w:t>
      </w:r>
    </w:p>
    <w:p>
      <w:pPr>
        <w:pStyle w:val="Heading1"/>
        <w:keepNext/>
      </w:pPr>
      <w:r>
        <w:t>10. Children</w:t>
      </w:r>
    </w:p>
    <w:p>
      <w:r>
        <w:t>Nod is not presently designed as a child-directed service. The operator must finalize the app’s target-age and Google Play Families posture before release. If the final product is directed to or knowingly used by children in a manner that triggers additional legal or Play obligations, this policy and product controls must be updated before that use is supported.</w:t>
      </w:r>
    </w:p>
    <w:p>
      <w:pPr>
        <w:pStyle w:val="Heading1"/>
        <w:keepNext/>
      </w:pPr>
      <w:r>
        <w:t>11. Security</w:t>
      </w:r>
    </w:p>
    <w:p>
      <w:r>
        <w:t>Nod uses technical and product safeguards intended to protect local profile data and transfers, including device-private storage, encryption for sensitive profile data, human peer verification, explicit transfer approval, temporary-file handling and integrity verification. No system can guarantee absolute security.</w:t>
      </w:r>
    </w:p>
    <w:p>
      <w:pPr>
        <w:pStyle w:val="Heading1"/>
        <w:keepNext/>
      </w:pPr>
      <w:r>
        <w:t>12. Changes</w:t>
      </w:r>
    </w:p>
    <w:p>
      <w:r>
        <w:t>We may update this policy when Nod’s features, SDKs, legal obligations or data practices change. Material changes should be reflected in-app and on the public policy URL with an updated effective date.</w:t>
      </w:r>
    </w:p>
    <w:p>
      <w:pPr>
        <w:pStyle w:val="Heading1"/>
        <w:keepNext/>
      </w:pPr>
      <w:r>
        <w:t>13. Contact</w:t>
      </w:r>
    </w:p>
    <w:p>
      <w:r>
        <w:t>Privacy: [PRIVACY EMAIL / DPO CONTACT]</w:t>
        <w:br/>
        <w:t>Support: [SUPPORT EMAIL]</w:t>
        <w:br/>
        <w:t>Operator: [NOD OWNER / LEGAL ENTITY]</w:t>
        <w:br/>
        <w:t>Address: [REGISTERED ADDRESS]</w:t>
      </w:r>
    </w:p>
    <w:p>
      <w:pPr>
        <w:pStyle w:val="Heading1"/>
        <w:keepNext/>
      </w:pPr>
      <w:r>
        <w:t>Authoritative references</w:t>
      </w:r>
    </w:p>
    <w:p>
      <w:r>
        <w:t>These links are included for implementation and legal review. Requirements can change; verify them again immediately before release.</w:t>
      </w:r>
    </w:p>
    <w:p>
      <w:pPr>
        <w:pStyle w:val="ListBullet"/>
      </w:pPr>
      <w:r>
        <w:rPr>
          <w:b/>
        </w:rPr>
        <w:t xml:space="preserve">Nigeria Data Protection Act 2023: </w:t>
      </w:r>
      <w:r>
        <w:t>https://ndpc.gov.ng/download/nigeria-data-protection-act-2023</w:t>
      </w:r>
    </w:p>
    <w:p>
      <w:pPr>
        <w:pStyle w:val="ListBullet"/>
      </w:pPr>
      <w:r>
        <w:rPr>
          <w:b/>
        </w:rPr>
        <w:t xml:space="preserve">NDP Act General Application and Implementation Directive (GAID) 2025: </w:t>
      </w:r>
      <w:r>
        <w:t>https://ndpc.gov.ng/wp-content/uploads/2025/07/NDP-ACT-GAID-2025-MARCH-20TH.pdf</w:t>
      </w:r>
    </w:p>
    <w:p>
      <w:pPr>
        <w:pStyle w:val="ListBullet"/>
      </w:pPr>
      <w:r>
        <w:rPr>
          <w:b/>
        </w:rPr>
        <w:t xml:space="preserve">Nigeria Data Protection Commission resources: </w:t>
      </w:r>
      <w:r>
        <w:t>https://ndpc.gov.ng/resources/</w:t>
      </w:r>
    </w:p>
    <w:p>
      <w:pPr>
        <w:pStyle w:val="ListBullet"/>
      </w:pPr>
      <w:r>
        <w:rPr>
          <w:b/>
        </w:rPr>
        <w:t xml:space="preserve">Copyright Act 2022 - Nigerian Copyright Commission: </w:t>
      </w:r>
      <w:r>
        <w:t>https://www.copyright.gov.ng/CopyrightAct/</w:t>
      </w:r>
    </w:p>
    <w:p>
      <w:pPr>
        <w:pStyle w:val="ListBullet"/>
      </w:pPr>
      <w:r>
        <w:rPr>
          <w:b/>
        </w:rPr>
        <w:t xml:space="preserve">Nigerian Copyright eRegistration System: </w:t>
      </w:r>
      <w:r>
        <w:t>https://eregistration.copyright.gov.ng/</w:t>
      </w:r>
    </w:p>
    <w:p>
      <w:pPr>
        <w:pStyle w:val="ListBullet"/>
      </w:pPr>
      <w:r>
        <w:rPr>
          <w:b/>
        </w:rPr>
        <w:t xml:space="preserve">Google Play - User Data policy: </w:t>
      </w:r>
      <w:r>
        <w:t>https://support.google.com/googleplay/android-developer/answer/10144311</w:t>
      </w:r>
    </w:p>
    <w:p>
      <w:pPr>
        <w:pStyle w:val="ListBullet"/>
      </w:pPr>
      <w:r>
        <w:rPr>
          <w:b/>
        </w:rPr>
        <w:t xml:space="preserve">Google Play - Prepare your app for review: </w:t>
      </w:r>
      <w:r>
        <w:t>https://support.google.com/googleplay/android-developer/answer/9859455</w:t>
      </w:r>
    </w:p>
    <w:p>
      <w:pPr>
        <w:pStyle w:val="ListBullet"/>
      </w:pPr>
      <w:r>
        <w:rPr>
          <w:b/>
        </w:rPr>
        <w:t xml:space="preserve">Google Play - Target API requirements: </w:t>
      </w:r>
      <w:r>
        <w:t>https://support.google.com/googleplay/android-developer/answer/11926878</w:t>
      </w:r>
    </w:p>
    <w:p>
      <w:pPr>
        <w:pStyle w:val="ListBullet"/>
      </w:pPr>
      <w:r>
        <w:rPr>
          <w:b/>
        </w:rPr>
        <w:t xml:space="preserve">Google Play - Foreground service requirements: </w:t>
      </w:r>
      <w:r>
        <w:t>https://support.google.com/googleplay/android-developer/answer/13392821</w:t>
      </w:r>
    </w:p>
    <w:sectPr w:rsidR="00FC693F" w:rsidRPr="0006063C" w:rsidSect="00034616">
      <w:headerReference w:type="default" r:id="rId9"/>
      <w:footerReference w:type="default" r:id="rId10"/>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Nod - Closer. Faster. Yours.   |   Version 1.0   |   Public Policy Draft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078992" cy="488115"/>
          <wp:docPr id="1" name="Picture 1"/>
          <wp:cNvGraphicFramePr>
            <a:graphicFrameLocks noChangeAspect="1"/>
          </wp:cNvGraphicFramePr>
          <a:graphic>
            <a:graphicData uri="http://schemas.openxmlformats.org/drawingml/2006/picture">
              <pic:pic>
                <pic:nvPicPr>
                  <pic:cNvPr id="0" name="nod_logo_crop.png"/>
                  <pic:cNvPicPr/>
                </pic:nvPicPr>
                <pic:blipFill>
                  <a:blip r:embed="rId1"/>
                  <a:stretch>
                    <a:fillRect/>
                  </a:stretch>
                </pic:blipFill>
                <pic:spPr>
                  <a:xfrm>
                    <a:off x="0" y="0"/>
                    <a:ext cx="1078992" cy="488115"/>
                  </a:xfrm>
                  <a:prstGeom prst="rect"/>
                </pic:spPr>
              </pic:pic>
            </a:graphicData>
          </a:graphic>
        </wp:inline>
      </w:drawing>
    </w:r>
    <w:r>
      <w:rPr>
        <w:b/>
        <w:color w:val="6B7280"/>
        <w:sz w:val="18"/>
      </w:rPr>
      <w:t xml:space="preserve">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17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17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dLabel">
    <w:name w:val="Nod Label"/>
    <w:rPr>
      <w:rFonts w:ascii="Arial" w:hAnsi="Arial"/>
      <w:b/>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