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1013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_logo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01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171717"/>
          <w:sz w:val="18"/>
        </w:rPr>
        <w:t>CONTROLLED 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994"/>
            <w:shd w:fill="BFFF00"/>
          </w:tcPr>
          <w:p>
            <w:r/>
          </w:p>
        </w:tc>
      </w:tr>
    </w:tbl>
    <w:p>
      <w:pPr>
        <w:pStyle w:val="Title"/>
        <w:jc w:val="center"/>
      </w:pPr>
      <w:r>
        <w:t>IP, Copyright, Trademark &amp; Open-Source Policy</w:t>
      </w:r>
    </w:p>
    <w:p>
      <w:pPr>
        <w:jc w:val="center"/>
      </w:pPr>
      <w:r>
        <w:rPr>
          <w:color w:val="6B7280"/>
          <w:sz w:val="24"/>
        </w:rPr>
        <w:t>Ownership, notices, registration strategy and third-party licence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Nod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 version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19 September 2026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Owner / operator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[NOD OWNER / LEGAL ENTITY]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Controlled Draft</w:t>
            </w:r>
          </w:p>
        </w:tc>
      </w:tr>
    </w:tbl>
    <w:p/>
    <w:p>
      <w:r>
        <w:rPr>
          <w:b/>
        </w:rPr>
        <w:t xml:space="preserve">Release note: </w:t>
      </w:r>
      <w:r>
        <w:t>This pack is a production-ready baseline. Bracketed operator details must be completed before public release. Legal documents should be reviewed by Nigerian counsel before publication or execution.</w:t>
      </w:r>
    </w:p>
    <w:p>
      <w:r>
        <w:br w:type="page"/>
      </w:r>
    </w:p>
    <w:p>
      <w:pPr>
        <w:pStyle w:val="Heading1"/>
        <w:keepNext/>
      </w:pPr>
      <w:r>
        <w:t>1. IP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71717"/>
          </w:tcPr>
          <w:p>
            <w:r>
              <w:rPr>
                <w:b/>
                <w:color w:val="FFFFFF"/>
                <w:sz w:val="17"/>
              </w:rPr>
              <w:t>Asset</w:t>
            </w:r>
          </w:p>
        </w:tc>
        <w:tc>
          <w:tcPr>
            <w:tcW w:type="dxa" w:w="4997"/>
            <w:shd w:fill="171717"/>
          </w:tcPr>
          <w:p>
            <w:r>
              <w:rPr>
                <w:b/>
                <w:color w:val="FFFFFF"/>
                <w:sz w:val="17"/>
              </w:rPr>
              <w:t>Protection / action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Nod source code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Copyright; contributor ownership chain; optional Nigerian copyright notification/registration evidence.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Nod protocol/documentation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Copyright; confidential until publication decisions are made.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Nod logo / artwork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Copyright in artwork plus trademark protection strategy.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Nod name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Primarily trademark/trade-name strategy; copyright does not protect a name/title by itself.</w:t>
            </w:r>
          </w:p>
        </w:tc>
      </w:tr>
      <w:tr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UI screens / illustrations</w:t>
            </w:r>
          </w:p>
        </w:tc>
        <w:tc>
          <w:tcPr>
            <w:tcW w:type="dxa" w:w="4997"/>
          </w:tcPr>
          <w:p>
            <w:pPr>
              <w:spacing w:after="0"/>
            </w:pPr>
            <w:r>
              <w:rPr>
                <w:sz w:val="17"/>
              </w:rPr>
              <w:t>Copyright in original visual works; maintain source files and creation records.</w:t>
            </w:r>
          </w:p>
        </w:tc>
      </w:tr>
      <w:tr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Open-source dependencies</w:t>
            </w:r>
          </w:p>
        </w:tc>
        <w:tc>
          <w:tcPr>
            <w:tcW w:type="dxa" w:w="4997"/>
            <w:shd w:fill="FAFAFA"/>
          </w:tcPr>
          <w:p>
            <w:pPr>
              <w:spacing w:after="0"/>
            </w:pPr>
            <w:r>
              <w:rPr>
                <w:sz w:val="17"/>
              </w:rPr>
              <w:t>Governed by third-party licences; preserve notices and source/offer obligations where applicable.</w:t>
            </w:r>
          </w:p>
        </w:tc>
      </w:tr>
    </w:tbl>
    <w:p>
      <w:pPr>
        <w:pStyle w:val="Heading1"/>
        <w:keepNext/>
      </w:pPr>
      <w:r>
        <w:t>2. Copyright notice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FE6"/>
            <w:tcBorders>
              <w:left w:val="single" w:sz="18" w:color="BFFF00"/>
            </w:tcBorders>
          </w:tcPr>
          <w:p>
            <w:r>
              <w:rPr>
                <w:b/>
                <w:color w:val="171717"/>
              </w:rPr>
              <w:t>Production notice</w:t>
              <w:br/>
            </w:r>
            <w:r>
              <w:t>© 2026 [NOD OWNER / LEGAL ENTITY]. All rights reserved, except for third-party components made available under their respective licences.</w:t>
            </w:r>
          </w:p>
        </w:tc>
      </w:tr>
    </w:tbl>
    <w:p>
      <w:r>
        <w:t>Under Nigerian copyright law, protection generally arises automatically when an eligible original work is created/fixed; the Nigerian Copyright Commission also operates a voluntary registration/notification system. Computer programs are treated as literary works for copyright purposes. Registration is useful evidentiary/administrative support but is not the condition that creates copyright.</w:t>
      </w:r>
    </w:p>
    <w:p>
      <w:pPr>
        <w:pStyle w:val="Heading1"/>
        <w:keepNext/>
      </w:pPr>
      <w:r>
        <w:t>3. Registration package checklist</w:t>
      </w:r>
    </w:p>
    <w:p>
      <w:pPr>
        <w:pStyle w:val="ListBullet"/>
      </w:pPr>
      <w:r>
        <w:t>Confirm legal copyright owner.</w:t>
      </w:r>
    </w:p>
    <w:p>
      <w:pPr>
        <w:pStyle w:val="ListBullet"/>
      </w:pPr>
      <w:r>
        <w:t>Prepare representative source-code deposit/material as permitted by registration process and confidentiality strategy.</w:t>
      </w:r>
    </w:p>
    <w:p>
      <w:pPr>
        <w:pStyle w:val="ListBullet"/>
      </w:pPr>
      <w:r>
        <w:t>Register/notify software/documentation with NCC if owner decides the evidentiary value is worthwhile.</w:t>
      </w:r>
    </w:p>
    <w:p>
      <w:pPr>
        <w:pStyle w:val="ListBullet"/>
      </w:pPr>
      <w:r>
        <w:t>Retain Git history, design source files, dated specifications and signed contributor assignments.</w:t>
      </w:r>
    </w:p>
    <w:p>
      <w:pPr>
        <w:pStyle w:val="ListBullet"/>
      </w:pPr>
      <w:r>
        <w:t>Maintain release archive identifying exact version corresponding to any registration submission.</w:t>
      </w:r>
    </w:p>
    <w:p>
      <w:pPr>
        <w:pStyle w:val="Heading1"/>
        <w:keepNext/>
      </w:pPr>
      <w:r>
        <w:t>4. Trademark strategy</w:t>
      </w:r>
    </w:p>
    <w:p>
      <w:pPr>
        <w:pStyle w:val="ListBullet"/>
      </w:pPr>
      <w:r>
        <w:t>Perform professional clearance search for “Nod” and the locked logo in relevant classes/jurisdictions before launch investment.</w:t>
      </w:r>
    </w:p>
    <w:p>
      <w:pPr>
        <w:pStyle w:val="ListBullet"/>
      </w:pPr>
      <w:r>
        <w:t>File word mark and/or device/logo mark as advised by trademark counsel.</w:t>
      </w:r>
    </w:p>
    <w:p>
      <w:pPr>
        <w:pStyle w:val="ListBullet"/>
      </w:pPr>
      <w:r>
        <w:t>Do not place ® unless registration has actually issued in the relevant jurisdiction.</w:t>
      </w:r>
    </w:p>
    <w:p>
      <w:pPr>
        <w:pStyle w:val="ListBullet"/>
      </w:pPr>
      <w:r>
        <w:t>Use ™ where appropriate as an unregistered claim only after counsel/brand review.</w:t>
      </w:r>
    </w:p>
    <w:p>
      <w:pPr>
        <w:pStyle w:val="ListBullet"/>
      </w:pPr>
      <w:r>
        <w:t>Maintain evidence of first commercial use and brand guidelines.</w:t>
      </w:r>
    </w:p>
    <w:p>
      <w:pPr>
        <w:pStyle w:val="Heading1"/>
        <w:keepNext/>
      </w:pPr>
      <w:r>
        <w:t>5. Brand usage policy</w:t>
      </w:r>
    </w:p>
    <w:p>
      <w:pPr>
        <w:pStyle w:val="ListBullet"/>
      </w:pPr>
      <w:r>
        <w:t>The uploaded Nod logo is locked; do not redraw, distort, recolor or alter proportions without brand-owner approval.</w:t>
      </w:r>
    </w:p>
    <w:p>
      <w:pPr>
        <w:pStyle w:val="ListBullet"/>
      </w:pPr>
      <w:r>
        <w:t>Approved core palette: #BFFF00, #FFFFFF, #171717, #F4FFE6.</w:t>
      </w:r>
    </w:p>
    <w:p>
      <w:pPr>
        <w:pStyle w:val="ListBullet"/>
      </w:pPr>
      <w:r>
        <w:t>Keep clear space around the wordmark and ensure contrast.</w:t>
      </w:r>
    </w:p>
    <w:p>
      <w:pPr>
        <w:pStyle w:val="ListBullet"/>
      </w:pPr>
      <w:r>
        <w:t>Third parties may not imply endorsement, partnership or official status without written permission.</w:t>
      </w:r>
    </w:p>
    <w:p>
      <w:pPr>
        <w:pStyle w:val="Heading1"/>
        <w:keepNext/>
      </w:pPr>
      <w:r>
        <w:t>6. Open-source software policy</w:t>
      </w:r>
    </w:p>
    <w:p>
      <w:pPr>
        <w:pStyle w:val="ListNumber"/>
      </w:pPr>
      <w:r>
        <w:t>Every dependency is recorded with package, version, source, licence, purpose and transitive-risk notes.</w:t>
      </w:r>
    </w:p>
    <w:p>
      <w:pPr>
        <w:pStyle w:val="ListNumber"/>
      </w:pPr>
      <w:r>
        <w:t>No dependency is added to production without licence compatibility review.</w:t>
      </w:r>
    </w:p>
    <w:p>
      <w:pPr>
        <w:pStyle w:val="ListNumber"/>
      </w:pPr>
      <w:r>
        <w:t>Copyleft/network-copyleft licences receive explicit legal/engineering review before use.</w:t>
      </w:r>
    </w:p>
    <w:p>
      <w:pPr>
        <w:pStyle w:val="ListNumber"/>
      </w:pPr>
      <w:r>
        <w:t>At release, generate Third-Party Notices containing all required attributions and licence texts/links.</w:t>
      </w:r>
    </w:p>
    <w:p>
      <w:pPr>
        <w:pStyle w:val="ListNumber"/>
      </w:pPr>
      <w:r>
        <w:t>Source-offer or redistribution obligations are satisfied where applicable.</w:t>
      </w:r>
    </w:p>
    <w:p>
      <w:pPr>
        <w:pStyle w:val="ListNumber"/>
      </w:pPr>
      <w:r>
        <w:t>Security/maintenance status is evaluated alongside licence terms.</w:t>
      </w:r>
    </w:p>
    <w:p>
      <w:pPr>
        <w:pStyle w:val="Heading1"/>
        <w:keepNext/>
      </w:pPr>
      <w:r>
        <w:t>7. Third-Party Notices template</w:t>
      </w:r>
    </w:p>
    <w:p>
      <w:r>
        <w:t>Component: [NAME]</w:t>
        <w:br/>
        <w:t>Version: [VERSION]</w:t>
        <w:br/>
        <w:t>Copyright: [THIRD-PARTY NOTICE]</w:t>
        <w:br/>
        <w:t>Licence: [SPDX/NAME]</w:t>
        <w:br/>
        <w:t>Source: [URL]</w:t>
        <w:br/>
        <w:t>Required notice/text: [INSERT]</w:t>
        <w:br/>
        <w:t>Nod modifications: [IF ANY]</w:t>
      </w:r>
    </w:p>
    <w:p>
      <w:pPr>
        <w:pStyle w:val="Heading1"/>
        <w:keepNext/>
      </w:pPr>
      <w:r>
        <w:t>Authoritative references</w:t>
      </w:r>
    </w:p>
    <w:p>
      <w:r>
        <w:t>These links are included for implementation and legal review. Requirements can change; verify them again immediately before release.</w:t>
      </w:r>
    </w:p>
    <w:p>
      <w:pPr>
        <w:pStyle w:val="ListBullet"/>
      </w:pPr>
      <w:r>
        <w:rPr>
          <w:b/>
        </w:rPr>
        <w:t xml:space="preserve">Nigeria Data Protection Act 2023: </w:t>
      </w:r>
      <w:r>
        <w:t>https://ndpc.gov.ng/download/nigeria-data-protection-act-2023</w:t>
      </w:r>
    </w:p>
    <w:p>
      <w:pPr>
        <w:pStyle w:val="ListBullet"/>
      </w:pPr>
      <w:r>
        <w:rPr>
          <w:b/>
        </w:rPr>
        <w:t xml:space="preserve">NDP Act General Application and Implementation Directive (GAID) 2025: </w:t>
      </w:r>
      <w:r>
        <w:t>https://ndpc.gov.ng/wp-content/uploads/2025/07/NDP-ACT-GAID-2025-MARCH-20TH.pdf</w:t>
      </w:r>
    </w:p>
    <w:p>
      <w:pPr>
        <w:pStyle w:val="ListBullet"/>
      </w:pPr>
      <w:r>
        <w:rPr>
          <w:b/>
        </w:rPr>
        <w:t xml:space="preserve">Nigeria Data Protection Commission resources: </w:t>
      </w:r>
      <w:r>
        <w:t>https://ndpc.gov.ng/resources/</w:t>
      </w:r>
    </w:p>
    <w:p>
      <w:pPr>
        <w:pStyle w:val="ListBullet"/>
      </w:pPr>
      <w:r>
        <w:rPr>
          <w:b/>
        </w:rPr>
        <w:t xml:space="preserve">Copyright Act 2022 - Nigerian Copyright Commission: </w:t>
      </w:r>
      <w:r>
        <w:t>https://www.copyright.gov.ng/CopyrightAct/</w:t>
      </w:r>
    </w:p>
    <w:p>
      <w:pPr>
        <w:pStyle w:val="ListBullet"/>
      </w:pPr>
      <w:r>
        <w:rPr>
          <w:b/>
        </w:rPr>
        <w:t xml:space="preserve">Nigerian Copyright eRegistration System: </w:t>
      </w:r>
      <w:r>
        <w:t>https://eregistration.copyright.gov.ng/</w:t>
      </w:r>
    </w:p>
    <w:p>
      <w:pPr>
        <w:pStyle w:val="ListBullet"/>
      </w:pPr>
      <w:r>
        <w:rPr>
          <w:b/>
        </w:rPr>
        <w:t xml:space="preserve">Google Play - User Data policy: </w:t>
      </w:r>
      <w:r>
        <w:t>https://support.google.com/googleplay/android-developer/answer/10144311</w:t>
      </w:r>
    </w:p>
    <w:p>
      <w:pPr>
        <w:pStyle w:val="ListBullet"/>
      </w:pPr>
      <w:r>
        <w:rPr>
          <w:b/>
        </w:rPr>
        <w:t xml:space="preserve">Google Play - Prepare your app for review: </w:t>
      </w:r>
      <w:r>
        <w:t>https://support.google.com/googleplay/android-developer/answer/9859455</w:t>
      </w:r>
    </w:p>
    <w:p>
      <w:pPr>
        <w:pStyle w:val="ListBullet"/>
      </w:pPr>
      <w:r>
        <w:rPr>
          <w:b/>
        </w:rPr>
        <w:t xml:space="preserve">Google Play - Target API requirements: </w:t>
      </w:r>
      <w:r>
        <w:t>https://support.google.com/googleplay/android-developer/answer/11926878</w:t>
      </w:r>
    </w:p>
    <w:p>
      <w:pPr>
        <w:pStyle w:val="ListBullet"/>
      </w:pPr>
      <w:r>
        <w:rPr>
          <w:b/>
        </w:rPr>
        <w:t xml:space="preserve">Google Play - Foreground service requirements: </w:t>
      </w:r>
      <w:r>
        <w:t>https://support.google.com/googleplay/android-developer/answer/13392821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Nod - Closer. Faster. Yours.   |   Version 1.0   |   Controlled Draft   | 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78992" cy="4881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od_logo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8992" cy="488115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6B7280"/>
        <w:sz w:val="18"/>
      </w:rPr>
      <w:t xml:space="preserve">    IP, Copyright, Trademark &amp; Open-Source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17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71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dLabel">
    <w:name w:val="Nod Label"/>
    <w:rPr>
      <w:rFonts w:ascii="Arial" w:hAnsi="Arial"/>
      <w:b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