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1013460"/>
            <wp:docPr id="1" name="Picture 1"/>
            <wp:cNvGraphicFramePr>
              <a:graphicFrameLocks noChangeAspect="1"/>
            </wp:cNvGraphicFramePr>
            <a:graphic>
              <a:graphicData uri="http://schemas.openxmlformats.org/drawingml/2006/picture">
                <pic:pic>
                  <pic:nvPicPr>
                    <pic:cNvPr id="0" name="nod_logo_crop.png"/>
                    <pic:cNvPicPr/>
                  </pic:nvPicPr>
                  <pic:blipFill>
                    <a:blip r:embed="rId11"/>
                    <a:stretch>
                      <a:fillRect/>
                    </a:stretch>
                  </pic:blipFill>
                  <pic:spPr>
                    <a:xfrm>
                      <a:off x="0" y="0"/>
                      <a:ext cx="2240280" cy="1013460"/>
                    </a:xfrm>
                    <a:prstGeom prst="rect"/>
                  </pic:spPr>
                </pic:pic>
              </a:graphicData>
            </a:graphic>
          </wp:inline>
        </w:drawing>
      </w:r>
    </w:p>
    <w:p>
      <w:pPr>
        <w:spacing w:after="120"/>
        <w:jc w:val="center"/>
      </w:pPr>
      <w:r>
        <w:rPr>
          <w:b/>
          <w:color w:val="171717"/>
          <w:sz w:val="18"/>
        </w:rPr>
        <w:t>CONTROLLED DRAFT</w:t>
      </w:r>
    </w:p>
    <w:tbl>
      <w:tblPr>
        <w:tblW w:type="auto" w:w="0"/>
        <w:jc w:val="center"/>
        <w:tblLayout w:type="fixed"/>
        <w:tblLook w:firstColumn="1" w:firstRow="1" w:lastColumn="0" w:lastRow="0" w:noHBand="0" w:noVBand="1" w:val="04A0"/>
      </w:tblPr>
      <w:tblGrid>
        <w:gridCol w:w="8352"/>
      </w:tblGrid>
      <w:tr>
        <w:tc>
          <w:tcPr>
            <w:tcW w:type="dxa" w:w="9994"/>
            <w:shd w:fill="BFFF00"/>
          </w:tcPr>
          <w:p>
            <w:r/>
          </w:p>
        </w:tc>
      </w:tr>
    </w:tbl>
    <w:p>
      <w:pPr>
        <w:pStyle w:val="Title"/>
        <w:jc w:val="center"/>
      </w:pPr>
      <w:r>
        <w:t>Security Incident Response, Vulnerability Disclosure &amp; Support</w:t>
      </w:r>
    </w:p>
    <w:p>
      <w:pPr>
        <w:jc w:val="center"/>
      </w:pPr>
      <w:r>
        <w:rPr>
          <w:color w:val="6B7280"/>
          <w:sz w:val="24"/>
        </w:rPr>
        <w:t>Operational playbook and public reporting language</w:t>
      </w:r>
    </w:p>
    <w:tbl>
      <w:tblPr>
        <w:tblStyle w:val="TableGrid"/>
        <w:tblW w:type="auto" w:w="0"/>
        <w:jc w:val="center"/>
        <w:tblLook w:firstColumn="1" w:firstRow="1" w:lastColumn="0" w:lastRow="0" w:noHBand="0" w:noVBand="1" w:val="04A0"/>
      </w:tblPr>
      <w:tblGrid>
        <w:gridCol w:w="4997"/>
        <w:gridCol w:w="4997"/>
      </w:tblGrid>
      <w:tr>
        <w:tc>
          <w:tcPr>
            <w:tcW w:type="dxa" w:w="4997"/>
            <w:shd w:fill="F4FFE6"/>
            <w:vAlign w:val="center"/>
          </w:tcPr>
          <w:p>
            <w:pPr>
              <w:spacing w:after="0"/>
            </w:pPr>
            <w:r>
              <w:rPr>
                <w:sz w:val="18"/>
              </w:rPr>
              <w:t>Product</w:t>
            </w:r>
          </w:p>
        </w:tc>
        <w:tc>
          <w:tcPr>
            <w:tcW w:type="dxa" w:w="4997"/>
            <w:vAlign w:val="center"/>
          </w:tcPr>
          <w:p>
            <w:pPr>
              <w:spacing w:after="0"/>
            </w:pPr>
            <w:r>
              <w:rPr>
                <w:sz w:val="18"/>
              </w:rPr>
              <w:t>Nod</w:t>
            </w:r>
          </w:p>
        </w:tc>
      </w:tr>
      <w:tr>
        <w:tc>
          <w:tcPr>
            <w:tcW w:type="dxa" w:w="4997"/>
            <w:shd w:fill="F4FFE6"/>
            <w:vAlign w:val="center"/>
          </w:tcPr>
          <w:p>
            <w:pPr>
              <w:spacing w:after="0"/>
            </w:pPr>
            <w:r>
              <w:rPr>
                <w:sz w:val="18"/>
              </w:rPr>
              <w:t>Document version</w:t>
            </w:r>
          </w:p>
        </w:tc>
        <w:tc>
          <w:tcPr>
            <w:tcW w:type="dxa" w:w="4997"/>
            <w:vAlign w:val="center"/>
          </w:tcPr>
          <w:p>
            <w:pPr>
              <w:spacing w:after="0"/>
            </w:pPr>
            <w:r>
              <w:rPr>
                <w:sz w:val="18"/>
              </w:rPr>
              <w:t>1.0</w:t>
            </w:r>
          </w:p>
        </w:tc>
      </w:tr>
      <w:tr>
        <w:tc>
          <w:tcPr>
            <w:tcW w:type="dxa" w:w="4997"/>
            <w:shd w:fill="F4FFE6"/>
            <w:vAlign w:val="center"/>
          </w:tcPr>
          <w:p>
            <w:pPr>
              <w:spacing w:after="0"/>
            </w:pPr>
            <w:r>
              <w:rPr>
                <w:sz w:val="18"/>
              </w:rPr>
              <w:t>Date</w:t>
            </w:r>
          </w:p>
        </w:tc>
        <w:tc>
          <w:tcPr>
            <w:tcW w:type="dxa" w:w="4997"/>
            <w:vAlign w:val="center"/>
          </w:tcPr>
          <w:p>
            <w:pPr>
              <w:spacing w:after="0"/>
            </w:pPr>
            <w:r>
              <w:rPr>
                <w:sz w:val="18"/>
              </w:rPr>
              <w:t>19 September 2026</w:t>
            </w:r>
          </w:p>
        </w:tc>
      </w:tr>
      <w:tr>
        <w:tc>
          <w:tcPr>
            <w:tcW w:type="dxa" w:w="4997"/>
            <w:shd w:fill="F4FFE6"/>
            <w:vAlign w:val="center"/>
          </w:tcPr>
          <w:p>
            <w:pPr>
              <w:spacing w:after="0"/>
            </w:pPr>
            <w:r>
              <w:rPr>
                <w:sz w:val="18"/>
              </w:rPr>
              <w:t>Owner / operator</w:t>
            </w:r>
          </w:p>
        </w:tc>
        <w:tc>
          <w:tcPr>
            <w:tcW w:type="dxa" w:w="4997"/>
            <w:vAlign w:val="center"/>
          </w:tcPr>
          <w:p>
            <w:pPr>
              <w:spacing w:after="0"/>
            </w:pPr>
            <w:r>
              <w:rPr>
                <w:sz w:val="18"/>
              </w:rPr>
              <w:t>[NOD OWNER / LEGAL ENTITY]</w:t>
            </w:r>
          </w:p>
        </w:tc>
      </w:tr>
      <w:tr>
        <w:tc>
          <w:tcPr>
            <w:tcW w:type="dxa" w:w="4997"/>
            <w:shd w:fill="F4FFE6"/>
            <w:vAlign w:val="center"/>
          </w:tcPr>
          <w:p>
            <w:pPr>
              <w:spacing w:after="0"/>
            </w:pPr>
            <w:r>
              <w:rPr>
                <w:sz w:val="18"/>
              </w:rPr>
              <w:t>Status</w:t>
            </w:r>
          </w:p>
        </w:tc>
        <w:tc>
          <w:tcPr>
            <w:tcW w:type="dxa" w:w="4997"/>
            <w:vAlign w:val="center"/>
          </w:tcPr>
          <w:p>
            <w:pPr>
              <w:spacing w:after="0"/>
            </w:pPr>
            <w:r>
              <w:rPr>
                <w:sz w:val="18"/>
              </w:rPr>
              <w:t>Controlled Draft</w:t>
            </w:r>
          </w:p>
        </w:tc>
      </w:tr>
    </w:tbl>
    <w:p/>
    <w:p>
      <w:r>
        <w:rPr>
          <w:b/>
        </w:rPr>
        <w:t xml:space="preserve">Release note: </w:t>
      </w:r>
      <w:r>
        <w:t>This pack is a production-ready baseline. Bracketed operator details must be completed before public release. Legal documents should be reviewed by Nigerian counsel before publication or execution.</w:t>
      </w:r>
    </w:p>
    <w:p>
      <w:r>
        <w:br w:type="page"/>
      </w:r>
    </w:p>
    <w:p>
      <w:pPr>
        <w:pStyle w:val="Heading1"/>
        <w:keepNext/>
      </w:pPr>
      <w:r>
        <w:t>1. Incident severity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Severity</w:t>
            </w:r>
          </w:p>
        </w:tc>
        <w:tc>
          <w:tcPr>
            <w:tcW w:type="dxa" w:w="3331"/>
            <w:shd w:fill="171717"/>
          </w:tcPr>
          <w:p>
            <w:r>
              <w:rPr>
                <w:b/>
                <w:color w:val="FFFFFF"/>
                <w:sz w:val="17"/>
              </w:rPr>
              <w:t>Examples</w:t>
            </w:r>
          </w:p>
        </w:tc>
        <w:tc>
          <w:tcPr>
            <w:tcW w:type="dxa" w:w="3331"/>
            <w:shd w:fill="171717"/>
          </w:tcPr>
          <w:p>
            <w:r>
              <w:rPr>
                <w:b/>
                <w:color w:val="FFFFFF"/>
                <w:sz w:val="17"/>
              </w:rPr>
              <w:t>Response</w:t>
            </w:r>
          </w:p>
        </w:tc>
      </w:tr>
      <w:tr>
        <w:tc>
          <w:tcPr>
            <w:tcW w:type="dxa" w:w="3331"/>
          </w:tcPr>
          <w:p>
            <w:pPr>
              <w:spacing w:after="0"/>
            </w:pPr>
            <w:r>
              <w:rPr>
                <w:sz w:val="17"/>
              </w:rPr>
              <w:t>Critical</w:t>
            </w:r>
          </w:p>
        </w:tc>
        <w:tc>
          <w:tcPr>
            <w:tcW w:type="dxa" w:w="3331"/>
          </w:tcPr>
          <w:p>
            <w:pPr>
              <w:spacing w:after="0"/>
            </w:pPr>
            <w:r>
              <w:rPr>
                <w:sz w:val="17"/>
              </w:rPr>
              <w:t>Key compromise; exploitable remote code execution; systematic disclosure of user content</w:t>
            </w:r>
          </w:p>
        </w:tc>
        <w:tc>
          <w:tcPr>
            <w:tcW w:type="dxa" w:w="3331"/>
          </w:tcPr>
          <w:p>
            <w:pPr>
              <w:spacing w:after="0"/>
            </w:pPr>
            <w:r>
              <w:rPr>
                <w:sz w:val="17"/>
              </w:rPr>
              <w:t>Immediate release stop/rollback, incident lead, containment, counsel/privacy escalation.</w:t>
            </w:r>
          </w:p>
        </w:tc>
      </w:tr>
      <w:tr>
        <w:tc>
          <w:tcPr>
            <w:tcW w:type="dxa" w:w="3331"/>
            <w:shd w:fill="FAFAFA"/>
          </w:tcPr>
          <w:p>
            <w:pPr>
              <w:spacing w:after="0"/>
            </w:pPr>
            <w:r>
              <w:rPr>
                <w:sz w:val="17"/>
              </w:rPr>
              <w:t>High</w:t>
            </w:r>
          </w:p>
        </w:tc>
        <w:tc>
          <w:tcPr>
            <w:tcW w:type="dxa" w:w="3331"/>
            <w:shd w:fill="FAFAFA"/>
          </w:tcPr>
          <w:p>
            <w:pPr>
              <w:spacing w:after="0"/>
            </w:pPr>
            <w:r>
              <w:rPr>
                <w:sz w:val="17"/>
              </w:rPr>
              <w:t>Authentication bypass; unauthorized profile exposure; widespread transfer integrity failure</w:t>
            </w:r>
          </w:p>
        </w:tc>
        <w:tc>
          <w:tcPr>
            <w:tcW w:type="dxa" w:w="3331"/>
            <w:shd w:fill="FAFAFA"/>
          </w:tcPr>
          <w:p>
            <w:pPr>
              <w:spacing w:after="0"/>
            </w:pPr>
            <w:r>
              <w:rPr>
                <w:sz w:val="17"/>
              </w:rPr>
              <w:t>Prioritized containment and hotfix; assess notification obligations.</w:t>
            </w:r>
          </w:p>
        </w:tc>
      </w:tr>
      <w:tr>
        <w:tc>
          <w:tcPr>
            <w:tcW w:type="dxa" w:w="3331"/>
          </w:tcPr>
          <w:p>
            <w:pPr>
              <w:spacing w:after="0"/>
            </w:pPr>
            <w:r>
              <w:rPr>
                <w:sz w:val="17"/>
              </w:rPr>
              <w:t>Medium</w:t>
            </w:r>
          </w:p>
        </w:tc>
        <w:tc>
          <w:tcPr>
            <w:tcW w:type="dxa" w:w="3331"/>
          </w:tcPr>
          <w:p>
            <w:pPr>
              <w:spacing w:after="0"/>
            </w:pPr>
            <w:r>
              <w:rPr>
                <w:sz w:val="17"/>
              </w:rPr>
              <w:t>Localized privacy bug, denial of service, limited data exposure</w:t>
            </w:r>
          </w:p>
        </w:tc>
        <w:tc>
          <w:tcPr>
            <w:tcW w:type="dxa" w:w="3331"/>
          </w:tcPr>
          <w:p>
            <w:pPr>
              <w:spacing w:after="0"/>
            </w:pPr>
            <w:r>
              <w:rPr>
                <w:sz w:val="17"/>
              </w:rPr>
              <w:t>Triage, fix in scheduled security release based on risk.</w:t>
            </w:r>
          </w:p>
        </w:tc>
      </w:tr>
      <w:tr>
        <w:tc>
          <w:tcPr>
            <w:tcW w:type="dxa" w:w="3331"/>
            <w:shd w:fill="FAFAFA"/>
          </w:tcPr>
          <w:p>
            <w:pPr>
              <w:spacing w:after="0"/>
            </w:pPr>
            <w:r>
              <w:rPr>
                <w:sz w:val="17"/>
              </w:rPr>
              <w:t>Low</w:t>
            </w:r>
          </w:p>
        </w:tc>
        <w:tc>
          <w:tcPr>
            <w:tcW w:type="dxa" w:w="3331"/>
            <w:shd w:fill="FAFAFA"/>
          </w:tcPr>
          <w:p>
            <w:pPr>
              <w:spacing w:after="0"/>
            </w:pPr>
            <w:r>
              <w:rPr>
                <w:sz w:val="17"/>
              </w:rPr>
              <w:t>Hardening issue with no practical exploit</w:t>
            </w:r>
          </w:p>
        </w:tc>
        <w:tc>
          <w:tcPr>
            <w:tcW w:type="dxa" w:w="3331"/>
            <w:shd w:fill="FAFAFA"/>
          </w:tcPr>
          <w:p>
            <w:pPr>
              <w:spacing w:after="0"/>
            </w:pPr>
            <w:r>
              <w:rPr>
                <w:sz w:val="17"/>
              </w:rPr>
              <w:t>Track and remediate normally.</w:t>
            </w:r>
          </w:p>
        </w:tc>
      </w:tr>
    </w:tbl>
    <w:p>
      <w:pPr>
        <w:pStyle w:val="Heading1"/>
        <w:keepNext/>
      </w:pPr>
      <w:r>
        <w:t>2. Incident workflow</w:t>
      </w:r>
    </w:p>
    <w:p>
      <w:pPr>
        <w:pStyle w:val="ListNumber"/>
      </w:pPr>
      <w:r>
        <w:t>Detect/report.</w:t>
      </w:r>
    </w:p>
    <w:p>
      <w:pPr>
        <w:pStyle w:val="ListNumber"/>
      </w:pPr>
      <w:r>
        <w:t>Preserve relevant logs/build/version evidence without collecting unnecessary user content.</w:t>
      </w:r>
    </w:p>
    <w:p>
      <w:pPr>
        <w:pStyle w:val="ListNumber"/>
      </w:pPr>
      <w:r>
        <w:t>Classify severity and affected versions.</w:t>
      </w:r>
    </w:p>
    <w:p>
      <w:pPr>
        <w:pStyle w:val="ListNumber"/>
      </w:pPr>
      <w:r>
        <w:t>Contain: disable rollout, revoke credentials or publish mitigation where possible.</w:t>
      </w:r>
    </w:p>
    <w:p>
      <w:pPr>
        <w:pStyle w:val="ListNumber"/>
      </w:pPr>
      <w:r>
        <w:t>Eradicate root cause and test fix.</w:t>
      </w:r>
    </w:p>
    <w:p>
      <w:pPr>
        <w:pStyle w:val="ListNumber"/>
      </w:pPr>
      <w:r>
        <w:t>Assess legal/regulatory/user notification duties with counsel/DPO.</w:t>
      </w:r>
    </w:p>
    <w:p>
      <w:pPr>
        <w:pStyle w:val="ListNumber"/>
      </w:pPr>
      <w:r>
        <w:t>Release staged remediation.</w:t>
      </w:r>
    </w:p>
    <w:p>
      <w:pPr>
        <w:pStyle w:val="ListNumber"/>
      </w:pPr>
      <w:r>
        <w:t>Post-incident review and update threat model/tests.</w:t>
      </w:r>
    </w:p>
    <w:p>
      <w:pPr>
        <w:pStyle w:val="Heading1"/>
        <w:keepNext/>
      </w:pPr>
      <w:r>
        <w:t>3. Vulnerability disclosure policy - public draft</w:t>
      </w:r>
    </w:p>
    <w:p>
      <w:r>
        <w:t>If you believe you found a security vulnerability in Nod, contact [SECURITY EMAIL]. Include the affected app version, device/Android version, reproduction steps and impact. Do not access, alter, retain or publicly disclose other users’ data. We will acknowledge valid reports as reasonably practicable, investigate in good faith and provide status updates where appropriate. This policy does not authorize unlawful testing, denial-of-service attacks, social engineering, physical attacks, or testing of systems you do not own or have permission to test.</w:t>
      </w:r>
    </w:p>
    <w:p>
      <w:pPr>
        <w:pStyle w:val="Heading1"/>
        <w:keepNext/>
      </w:pPr>
      <w:r>
        <w:t>4. Support policy</w:t>
      </w:r>
    </w:p>
    <w:p>
      <w:pPr>
        <w:pStyle w:val="ListBullet"/>
      </w:pPr>
      <w:r>
        <w:t>Primary support: [SUPPORT EMAIL].</w:t>
      </w:r>
    </w:p>
    <w:p>
      <w:pPr>
        <w:pStyle w:val="ListBullet"/>
      </w:pPr>
      <w:r>
        <w:t>Collect only information necessary to troubleshoot.</w:t>
      </w:r>
    </w:p>
    <w:p>
      <w:pPr>
        <w:pStyle w:val="ListBullet"/>
      </w:pPr>
      <w:r>
        <w:t>Never ask users to email private transferred files or full contact databases unless strictly necessary and expressly consented.</w:t>
      </w:r>
    </w:p>
    <w:p>
      <w:pPr>
        <w:pStyle w:val="ListBullet"/>
      </w:pPr>
      <w:r>
        <w:t>Provide a diagnostics export feature that redacts content and sensitive profile fields before any remote support workflow is introduced.</w:t>
      </w:r>
    </w:p>
    <w:p>
      <w:pPr>
        <w:pStyle w:val="ListBullet"/>
      </w:pPr>
      <w:r>
        <w:t>Record recurring OEM/permission issues in a compatibility knowledge base.</w:t>
      </w:r>
    </w:p>
    <w:p>
      <w:pPr>
        <w:pStyle w:val="Heading1"/>
        <w:keepNext/>
      </w:pPr>
      <w:r>
        <w:t>5. Complaint handling</w:t>
      </w:r>
    </w:p>
    <w:p>
      <w:pPr>
        <w:pStyle w:val="ListNumber"/>
      </w:pPr>
      <w:r>
        <w:t>Acknowledge complaint.</w:t>
      </w:r>
    </w:p>
    <w:p>
      <w:pPr>
        <w:pStyle w:val="ListNumber"/>
      </w:pPr>
      <w:r>
        <w:t>Categorize technical, privacy, abuse or billing issue.</w:t>
      </w:r>
    </w:p>
    <w:p>
      <w:pPr>
        <w:pStyle w:val="ListNumber"/>
      </w:pPr>
      <w:r>
        <w:t>Escalate privacy/security complaints to designated owner.</w:t>
      </w:r>
    </w:p>
    <w:p>
      <w:pPr>
        <w:pStyle w:val="ListNumber"/>
      </w:pPr>
      <w:r>
        <w:t>Document resolution and systemic corrective action.</w:t>
      </w:r>
    </w:p>
    <w:p>
      <w:pPr>
        <w:pStyle w:val="ListNumber"/>
      </w:pPr>
      <w:r>
        <w:t>Retain complaint records according to a defined operational retention schedule, not indefinitely.</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Nod - Closer. Faster. Yours.   |   Version 1.0   |   Controlled Draft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488115"/>
          <wp:docPr id="1" name="Picture 1"/>
          <wp:cNvGraphicFramePr>
            <a:graphicFrameLocks noChangeAspect="1"/>
          </wp:cNvGraphicFramePr>
          <a:graphic>
            <a:graphicData uri="http://schemas.openxmlformats.org/drawingml/2006/picture">
              <pic:pic>
                <pic:nvPicPr>
                  <pic:cNvPr id="0" name="nod_logo_crop.png"/>
                  <pic:cNvPicPr/>
                </pic:nvPicPr>
                <pic:blipFill>
                  <a:blip r:embed="rId1"/>
                  <a:stretch>
                    <a:fillRect/>
                  </a:stretch>
                </pic:blipFill>
                <pic:spPr>
                  <a:xfrm>
                    <a:off x="0" y="0"/>
                    <a:ext cx="1078992" cy="488115"/>
                  </a:xfrm>
                  <a:prstGeom prst="rect"/>
                </pic:spPr>
              </pic:pic>
            </a:graphicData>
          </a:graphic>
        </wp:inline>
      </w:drawing>
    </w:r>
    <w:r>
      <w:rPr>
        <w:b/>
        <w:color w:val="6B7280"/>
        <w:sz w:val="18"/>
      </w:rPr>
      <w:t xml:space="preserve">    Security Incident Response, Vulnerability Disclosure &amp;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dLabel">
    <w:name w:val="Nod Label"/>
    <w:rPr>
      <w:rFonts w:ascii="Arial" w:hAnsi="Arial"/>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