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240280" cy="1013460"/>
            <wp:docPr id="1" name="Picture 1"/>
            <wp:cNvGraphicFramePr>
              <a:graphicFrameLocks noChangeAspect="1"/>
            </wp:cNvGraphicFramePr>
            <a:graphic>
              <a:graphicData uri="http://schemas.openxmlformats.org/drawingml/2006/picture">
                <pic:pic>
                  <pic:nvPicPr>
                    <pic:cNvPr id="0" name="nod_logo_crop.png"/>
                    <pic:cNvPicPr/>
                  </pic:nvPicPr>
                  <pic:blipFill>
                    <a:blip r:embed="rId11"/>
                    <a:stretch>
                      <a:fillRect/>
                    </a:stretch>
                  </pic:blipFill>
                  <pic:spPr>
                    <a:xfrm>
                      <a:off x="0" y="0"/>
                      <a:ext cx="2240280" cy="1013460"/>
                    </a:xfrm>
                    <a:prstGeom prst="rect"/>
                  </pic:spPr>
                </pic:pic>
              </a:graphicData>
            </a:graphic>
          </wp:inline>
        </w:drawing>
      </w:r>
    </w:p>
    <w:p>
      <w:pPr>
        <w:spacing w:after="120"/>
        <w:jc w:val="center"/>
      </w:pPr>
      <w:r>
        <w:rPr>
          <w:b/>
          <w:color w:val="171717"/>
          <w:sz w:val="18"/>
        </w:rPr>
        <w:t>CONTROLLED DRAFT</w:t>
      </w:r>
    </w:p>
    <w:tbl>
      <w:tblPr>
        <w:tblW w:type="auto" w:w="0"/>
        <w:jc w:val="center"/>
        <w:tblLayout w:type="fixed"/>
        <w:tblLook w:firstColumn="1" w:firstRow="1" w:lastColumn="0" w:lastRow="0" w:noHBand="0" w:noVBand="1" w:val="04A0"/>
      </w:tblPr>
      <w:tblGrid>
        <w:gridCol w:w="8352"/>
      </w:tblGrid>
      <w:tr>
        <w:tc>
          <w:tcPr>
            <w:tcW w:type="dxa" w:w="9994"/>
            <w:shd w:fill="BFFF00"/>
          </w:tcPr>
          <w:p>
            <w:r/>
          </w:p>
        </w:tc>
      </w:tr>
    </w:tbl>
    <w:p>
      <w:pPr>
        <w:pStyle w:val="Title"/>
        <w:jc w:val="center"/>
      </w:pPr>
      <w:r>
        <w:t>Change Management, Maintenance &amp; End-of-Life Policy</w:t>
      </w:r>
    </w:p>
    <w:p>
      <w:pPr>
        <w:jc w:val="center"/>
      </w:pPr>
      <w:r>
        <w:rPr>
          <w:color w:val="6B7280"/>
          <w:sz w:val="24"/>
        </w:rPr>
        <w:t>Versioning, compatibility, deprecation and sustained compliance</w:t>
      </w:r>
    </w:p>
    <w:tbl>
      <w:tblPr>
        <w:tblStyle w:val="TableGrid"/>
        <w:tblW w:type="auto" w:w="0"/>
        <w:jc w:val="center"/>
        <w:tblLook w:firstColumn="1" w:firstRow="1" w:lastColumn="0" w:lastRow="0" w:noHBand="0" w:noVBand="1" w:val="04A0"/>
      </w:tblPr>
      <w:tblGrid>
        <w:gridCol w:w="4997"/>
        <w:gridCol w:w="4997"/>
      </w:tblGrid>
      <w:tr>
        <w:tc>
          <w:tcPr>
            <w:tcW w:type="dxa" w:w="4997"/>
            <w:shd w:fill="F4FFE6"/>
            <w:vAlign w:val="center"/>
          </w:tcPr>
          <w:p>
            <w:pPr>
              <w:spacing w:after="0"/>
            </w:pPr>
            <w:r>
              <w:rPr>
                <w:sz w:val="18"/>
              </w:rPr>
              <w:t>Product</w:t>
            </w:r>
          </w:p>
        </w:tc>
        <w:tc>
          <w:tcPr>
            <w:tcW w:type="dxa" w:w="4997"/>
            <w:vAlign w:val="center"/>
          </w:tcPr>
          <w:p>
            <w:pPr>
              <w:spacing w:after="0"/>
            </w:pPr>
            <w:r>
              <w:rPr>
                <w:sz w:val="18"/>
              </w:rPr>
              <w:t>Nod</w:t>
            </w:r>
          </w:p>
        </w:tc>
      </w:tr>
      <w:tr>
        <w:tc>
          <w:tcPr>
            <w:tcW w:type="dxa" w:w="4997"/>
            <w:shd w:fill="F4FFE6"/>
            <w:vAlign w:val="center"/>
          </w:tcPr>
          <w:p>
            <w:pPr>
              <w:spacing w:after="0"/>
            </w:pPr>
            <w:r>
              <w:rPr>
                <w:sz w:val="18"/>
              </w:rPr>
              <w:t>Document version</w:t>
            </w:r>
          </w:p>
        </w:tc>
        <w:tc>
          <w:tcPr>
            <w:tcW w:type="dxa" w:w="4997"/>
            <w:vAlign w:val="center"/>
          </w:tcPr>
          <w:p>
            <w:pPr>
              <w:spacing w:after="0"/>
            </w:pPr>
            <w:r>
              <w:rPr>
                <w:sz w:val="18"/>
              </w:rPr>
              <w:t>1.0</w:t>
            </w:r>
          </w:p>
        </w:tc>
      </w:tr>
      <w:tr>
        <w:tc>
          <w:tcPr>
            <w:tcW w:type="dxa" w:w="4997"/>
            <w:shd w:fill="F4FFE6"/>
            <w:vAlign w:val="center"/>
          </w:tcPr>
          <w:p>
            <w:pPr>
              <w:spacing w:after="0"/>
            </w:pPr>
            <w:r>
              <w:rPr>
                <w:sz w:val="18"/>
              </w:rPr>
              <w:t>Date</w:t>
            </w:r>
          </w:p>
        </w:tc>
        <w:tc>
          <w:tcPr>
            <w:tcW w:type="dxa" w:w="4997"/>
            <w:vAlign w:val="center"/>
          </w:tcPr>
          <w:p>
            <w:pPr>
              <w:spacing w:after="0"/>
            </w:pPr>
            <w:r>
              <w:rPr>
                <w:sz w:val="18"/>
              </w:rPr>
              <w:t>19 September 2026</w:t>
            </w:r>
          </w:p>
        </w:tc>
      </w:tr>
      <w:tr>
        <w:tc>
          <w:tcPr>
            <w:tcW w:type="dxa" w:w="4997"/>
            <w:shd w:fill="F4FFE6"/>
            <w:vAlign w:val="center"/>
          </w:tcPr>
          <w:p>
            <w:pPr>
              <w:spacing w:after="0"/>
            </w:pPr>
            <w:r>
              <w:rPr>
                <w:sz w:val="18"/>
              </w:rPr>
              <w:t>Owner / operator</w:t>
            </w:r>
          </w:p>
        </w:tc>
        <w:tc>
          <w:tcPr>
            <w:tcW w:type="dxa" w:w="4997"/>
            <w:vAlign w:val="center"/>
          </w:tcPr>
          <w:p>
            <w:pPr>
              <w:spacing w:after="0"/>
            </w:pPr>
            <w:r>
              <w:rPr>
                <w:sz w:val="18"/>
              </w:rPr>
              <w:t>[NOD OWNER / LEGAL ENTITY]</w:t>
            </w:r>
          </w:p>
        </w:tc>
      </w:tr>
      <w:tr>
        <w:tc>
          <w:tcPr>
            <w:tcW w:type="dxa" w:w="4997"/>
            <w:shd w:fill="F4FFE6"/>
            <w:vAlign w:val="center"/>
          </w:tcPr>
          <w:p>
            <w:pPr>
              <w:spacing w:after="0"/>
            </w:pPr>
            <w:r>
              <w:rPr>
                <w:sz w:val="18"/>
              </w:rPr>
              <w:t>Status</w:t>
            </w:r>
          </w:p>
        </w:tc>
        <w:tc>
          <w:tcPr>
            <w:tcW w:type="dxa" w:w="4997"/>
            <w:vAlign w:val="center"/>
          </w:tcPr>
          <w:p>
            <w:pPr>
              <w:spacing w:after="0"/>
            </w:pPr>
            <w:r>
              <w:rPr>
                <w:sz w:val="18"/>
              </w:rPr>
              <w:t>Controlled Draft</w:t>
            </w:r>
          </w:p>
        </w:tc>
      </w:tr>
    </w:tbl>
    <w:p/>
    <w:p>
      <w:r>
        <w:rPr>
          <w:b/>
        </w:rPr>
        <w:t xml:space="preserve">Release note: </w:t>
      </w:r>
      <w:r>
        <w:t>This pack is a production-ready baseline. Bracketed operator details must be completed before public release. Legal documents should be reviewed by Nigerian counsel before publication or execution.</w:t>
      </w:r>
    </w:p>
    <w:p>
      <w:r>
        <w:br w:type="page"/>
      </w:r>
    </w:p>
    <w:p>
      <w:pPr>
        <w:pStyle w:val="Heading1"/>
        <w:keepNext/>
      </w:pPr>
      <w:r>
        <w:t>1. Versioning</w:t>
      </w:r>
    </w:p>
    <w:p>
      <w:pPr>
        <w:pStyle w:val="ListBullet"/>
      </w:pPr>
      <w:r>
        <w:t>App semantic version: MAJOR.MINOR.PATCH for product releases.</w:t>
      </w:r>
    </w:p>
    <w:p>
      <w:pPr>
        <w:pStyle w:val="ListBullet"/>
      </w:pPr>
      <w:r>
        <w:t>Protocol has its own major/minor compatibility version.</w:t>
      </w:r>
    </w:p>
    <w:p>
      <w:pPr>
        <w:pStyle w:val="ListBullet"/>
      </w:pPr>
      <w:r>
        <w:t>Database schema migrations are versioned and tested from supported upgrade paths.</w:t>
      </w:r>
    </w:p>
    <w:p>
      <w:pPr>
        <w:pStyle w:val="ListBullet"/>
      </w:pPr>
      <w:r>
        <w:t>Every production build maps to immutable source commit/tag and dependency lock state.</w:t>
      </w:r>
    </w:p>
    <w:p>
      <w:pPr>
        <w:pStyle w:val="Heading1"/>
        <w:keepNext/>
      </w:pPr>
      <w:r>
        <w:t>2. Change classes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71717"/>
          </w:tcPr>
          <w:p>
            <w:r>
              <w:rPr>
                <w:b/>
                <w:color w:val="FFFFFF"/>
                <w:sz w:val="17"/>
              </w:rPr>
              <w:t>Class</w:t>
            </w:r>
          </w:p>
        </w:tc>
        <w:tc>
          <w:tcPr>
            <w:tcW w:type="dxa" w:w="3331"/>
            <w:shd w:fill="171717"/>
          </w:tcPr>
          <w:p>
            <w:r>
              <w:rPr>
                <w:b/>
                <w:color w:val="FFFFFF"/>
                <w:sz w:val="17"/>
              </w:rPr>
              <w:t>Examples</w:t>
            </w:r>
          </w:p>
        </w:tc>
        <w:tc>
          <w:tcPr>
            <w:tcW w:type="dxa" w:w="3331"/>
            <w:shd w:fill="171717"/>
          </w:tcPr>
          <w:p>
            <w:r>
              <w:rPr>
                <w:b/>
                <w:color w:val="FFFFFF"/>
                <w:sz w:val="17"/>
              </w:rPr>
              <w:t>Required review</w:t>
            </w:r>
          </w:p>
        </w:tc>
      </w:tr>
      <w:tr>
        <w:tc>
          <w:tcPr>
            <w:tcW w:type="dxa" w:w="3331"/>
          </w:tcPr>
          <w:p>
            <w:pPr>
              <w:spacing w:after="0"/>
            </w:pPr>
            <w:r>
              <w:rPr>
                <w:sz w:val="17"/>
              </w:rPr>
              <w:t>Security-critical</w:t>
            </w:r>
          </w:p>
        </w:tc>
        <w:tc>
          <w:tcPr>
            <w:tcW w:type="dxa" w:w="3331"/>
          </w:tcPr>
          <w:p>
            <w:pPr>
              <w:spacing w:after="0"/>
            </w:pPr>
            <w:r>
              <w:rPr>
                <w:sz w:val="17"/>
              </w:rPr>
              <w:t>Pairing, crypto, permissions, file finalization</w:t>
            </w:r>
          </w:p>
        </w:tc>
        <w:tc>
          <w:tcPr>
            <w:tcW w:type="dxa" w:w="3331"/>
          </w:tcPr>
          <w:p>
            <w:pPr>
              <w:spacing w:after="0"/>
            </w:pPr>
            <w:r>
              <w:rPr>
                <w:sz w:val="17"/>
              </w:rPr>
              <w:t>Security + architecture + QA.</w:t>
            </w:r>
          </w:p>
        </w:tc>
      </w:tr>
      <w:tr>
        <w:tc>
          <w:tcPr>
            <w:tcW w:type="dxa" w:w="3331"/>
            <w:shd w:fill="FAFAFA"/>
          </w:tcPr>
          <w:p>
            <w:pPr>
              <w:spacing w:after="0"/>
            </w:pPr>
            <w:r>
              <w:rPr>
                <w:sz w:val="17"/>
              </w:rPr>
              <w:t>Privacy-impacting</w:t>
            </w:r>
          </w:p>
        </w:tc>
        <w:tc>
          <w:tcPr>
            <w:tcW w:type="dxa" w:w="3331"/>
            <w:shd w:fill="FAFAFA"/>
          </w:tcPr>
          <w:p>
            <w:pPr>
              <w:spacing w:after="0"/>
            </w:pPr>
            <w:r>
              <w:rPr>
                <w:sz w:val="17"/>
              </w:rPr>
              <w:t>New SDK, analytics, cloud service, new personal data field</w:t>
            </w:r>
          </w:p>
        </w:tc>
        <w:tc>
          <w:tcPr>
            <w:tcW w:type="dxa" w:w="3331"/>
            <w:shd w:fill="FAFAFA"/>
          </w:tcPr>
          <w:p>
            <w:pPr>
              <w:spacing w:after="0"/>
            </w:pPr>
            <w:r>
              <w:rPr>
                <w:sz w:val="17"/>
              </w:rPr>
              <w:t>DPIA/privacy policy/Data Safety review before merge/release.</w:t>
            </w:r>
          </w:p>
        </w:tc>
      </w:tr>
      <w:tr>
        <w:tc>
          <w:tcPr>
            <w:tcW w:type="dxa" w:w="3331"/>
          </w:tcPr>
          <w:p>
            <w:pPr>
              <w:spacing w:after="0"/>
            </w:pPr>
            <w:r>
              <w:rPr>
                <w:sz w:val="17"/>
              </w:rPr>
              <w:t>Protocol-breaking</w:t>
            </w:r>
          </w:p>
        </w:tc>
        <w:tc>
          <w:tcPr>
            <w:tcW w:type="dxa" w:w="3331"/>
          </w:tcPr>
          <w:p>
            <w:pPr>
              <w:spacing w:after="0"/>
            </w:pPr>
            <w:r>
              <w:rPr>
                <w:sz w:val="17"/>
              </w:rPr>
              <w:t>Envelope/message semantics</w:t>
            </w:r>
          </w:p>
        </w:tc>
        <w:tc>
          <w:tcPr>
            <w:tcW w:type="dxa" w:w="3331"/>
          </w:tcPr>
          <w:p>
            <w:pPr>
              <w:spacing w:after="0"/>
            </w:pPr>
            <w:r>
              <w:rPr>
                <w:sz w:val="17"/>
              </w:rPr>
              <w:t>Compatibility ADR, migration/deprecation plan, cross-version test.</w:t>
            </w:r>
          </w:p>
        </w:tc>
      </w:tr>
      <w:tr>
        <w:tc>
          <w:tcPr>
            <w:tcW w:type="dxa" w:w="3331"/>
            <w:shd w:fill="FAFAFA"/>
          </w:tcPr>
          <w:p>
            <w:pPr>
              <w:spacing w:after="0"/>
            </w:pPr>
            <w:r>
              <w:rPr>
                <w:sz w:val="17"/>
              </w:rPr>
              <w:t>UI-only</w:t>
            </w:r>
          </w:p>
        </w:tc>
        <w:tc>
          <w:tcPr>
            <w:tcW w:type="dxa" w:w="3331"/>
            <w:shd w:fill="FAFAFA"/>
          </w:tcPr>
          <w:p>
            <w:pPr>
              <w:spacing w:after="0"/>
            </w:pPr>
            <w:r>
              <w:rPr>
                <w:sz w:val="17"/>
              </w:rPr>
              <w:t>Copy/layout not affecting permissions/data</w:t>
            </w:r>
          </w:p>
        </w:tc>
        <w:tc>
          <w:tcPr>
            <w:tcW w:type="dxa" w:w="3331"/>
            <w:shd w:fill="FAFAFA"/>
          </w:tcPr>
          <w:p>
            <w:pPr>
              <w:spacing w:after="0"/>
            </w:pPr>
            <w:r>
              <w:rPr>
                <w:sz w:val="17"/>
              </w:rPr>
              <w:t>Design/accessibility QA.</w:t>
            </w:r>
          </w:p>
        </w:tc>
      </w:tr>
      <w:tr>
        <w:tc>
          <w:tcPr>
            <w:tcW w:type="dxa" w:w="3331"/>
          </w:tcPr>
          <w:p>
            <w:pPr>
              <w:spacing w:after="0"/>
            </w:pPr>
            <w:r>
              <w:rPr>
                <w:sz w:val="17"/>
              </w:rPr>
              <w:t>Dependency-only</w:t>
            </w:r>
          </w:p>
        </w:tc>
        <w:tc>
          <w:tcPr>
            <w:tcW w:type="dxa" w:w="3331"/>
          </w:tcPr>
          <w:p>
            <w:pPr>
              <w:spacing w:after="0"/>
            </w:pPr>
            <w:r>
              <w:rPr>
                <w:sz w:val="17"/>
              </w:rPr>
              <w:t>Library update</w:t>
            </w:r>
          </w:p>
        </w:tc>
        <w:tc>
          <w:tcPr>
            <w:tcW w:type="dxa" w:w="3331"/>
          </w:tcPr>
          <w:p>
            <w:pPr>
              <w:spacing w:after="0"/>
            </w:pPr>
            <w:r>
              <w:rPr>
                <w:sz w:val="17"/>
              </w:rPr>
              <w:t>Licence/security/regression review.</w:t>
            </w:r>
          </w:p>
        </w:tc>
      </w:tr>
    </w:tbl>
    <w:p>
      <w:pPr>
        <w:pStyle w:val="Heading1"/>
        <w:keepNext/>
      </w:pPr>
      <w:r>
        <w:t>3. Maintenance cadence</w:t>
      </w:r>
    </w:p>
    <w:p>
      <w:pPr>
        <w:pStyle w:val="ListBullet"/>
      </w:pPr>
      <w:r>
        <w:t>Monthly dependency/security review during active development.</w:t>
      </w:r>
    </w:p>
    <w:p>
      <w:pPr>
        <w:pStyle w:val="ListBullet"/>
      </w:pPr>
      <w:r>
        <w:t>Immediate review of critical Android/Google Play policy deadlines.</w:t>
      </w:r>
    </w:p>
    <w:p>
      <w:pPr>
        <w:pStyle w:val="ListBullet"/>
      </w:pPr>
      <w:r>
        <w:t>Quarterly re-validation of privacy policy and SDK inventory once public.</w:t>
      </w:r>
    </w:p>
    <w:p>
      <w:pPr>
        <w:pStyle w:val="ListBullet"/>
      </w:pPr>
      <w:r>
        <w:t>Annual threat model/DPIA review or earlier after material feature change.</w:t>
      </w:r>
    </w:p>
    <w:p>
      <w:pPr>
        <w:pStyle w:val="Heading1"/>
        <w:keepNext/>
      </w:pPr>
      <w:r>
        <w:t>4. End-of-life</w:t>
      </w:r>
    </w:p>
    <w:p>
      <w:r>
        <w:t>If Nod is discontinued, the operator should publish reasonable notice where practicable, explain which versions will stop receiving security updates, remove unsupported store listings when appropriate, and preserve users’ ability to access locally stored files/contact information through ordinary Android storage/contacts where the app architecture allows. Because v1 has no mandatory cloud account, service shutdown should not remotely delete user-owned files.</w:t>
      </w:r>
    </w:p>
    <w:p>
      <w:pPr>
        <w:pStyle w:val="Heading1"/>
        <w:keepNext/>
      </w:pPr>
      <w:r>
        <w:t>5. Policy synchronization rule</w:t>
      </w:r>
    </w:p>
    <w:tbl>
      <w:tblPr>
        <w:tblW w:type="auto" w:w="0"/>
        <w:jc w:val="center"/>
        <w:tblLook w:firstColumn="1" w:firstRow="1" w:lastColumn="0" w:lastRow="0" w:noHBand="0" w:noVBand="1" w:val="04A0"/>
      </w:tblPr>
      <w:tblGrid>
        <w:gridCol w:w="9994"/>
      </w:tblGrid>
      <w:tr>
        <w:tc>
          <w:tcPr>
            <w:tcW w:type="dxa" w:w="9994"/>
            <w:shd w:fill="F4FFE6"/>
            <w:tcBorders>
              <w:left w:val="single" w:sz="18" w:color="BFFF00"/>
            </w:tcBorders>
          </w:tcPr>
          <w:p>
            <w:r>
              <w:rPr>
                <w:b/>
                <w:color w:val="171717"/>
              </w:rPr>
              <w:t>One release, one truth</w:t>
              <w:br/>
            </w:r>
            <w:r>
              <w:t>A release is blocked when code behavior, Privacy Policy, Play Data Safety answers, permissions documentation, OSS notices or protocol documentation disagree materially.</w:t>
            </w:r>
          </w:p>
        </w:tc>
      </w:tr>
    </w:tbl>
    <w:sectPr w:rsidR="00FC693F" w:rsidRPr="0006063C" w:rsidSect="00034616">
      <w:headerReference w:type="default" r:id="rId9"/>
      <w:footerReference w:type="default" r:id="rId10"/>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t xml:space="preserve">Nod - Closer. Faster. Yours.   |   Version 1.0   |   Controlled Draft   |   </w:t>
    </w: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drawing>
        <wp:inline xmlns:a="http://schemas.openxmlformats.org/drawingml/2006/main" xmlns:pic="http://schemas.openxmlformats.org/drawingml/2006/picture">
          <wp:extent cx="1078992" cy="488115"/>
          <wp:docPr id="1" name="Picture 1"/>
          <wp:cNvGraphicFramePr>
            <a:graphicFrameLocks noChangeAspect="1"/>
          </wp:cNvGraphicFramePr>
          <a:graphic>
            <a:graphicData uri="http://schemas.openxmlformats.org/drawingml/2006/picture">
              <pic:pic>
                <pic:nvPicPr>
                  <pic:cNvPr id="0" name="nod_logo_crop.png"/>
                  <pic:cNvPicPr/>
                </pic:nvPicPr>
                <pic:blipFill>
                  <a:blip r:embed="rId1"/>
                  <a:stretch>
                    <a:fillRect/>
                  </a:stretch>
                </pic:blipFill>
                <pic:spPr>
                  <a:xfrm>
                    <a:off x="0" y="0"/>
                    <a:ext cx="1078992" cy="488115"/>
                  </a:xfrm>
                  <a:prstGeom prst="rect"/>
                </pic:spPr>
              </pic:pic>
            </a:graphicData>
          </a:graphic>
        </wp:inline>
      </w:drawing>
    </w:r>
    <w:r>
      <w:rPr>
        <w:b/>
        <w:color w:val="6B7280"/>
        <w:sz w:val="18"/>
      </w:rPr>
      <w:t xml:space="preserve">    Change Management, Maintenance &amp; End-of-Life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171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bCs/>
      <w:color w:val="171717"/>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171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7171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171717"/>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dLabel">
    <w:name w:val="Nod Label"/>
    <w:rPr>
      <w:rFonts w:ascii="Arial" w:hAnsi="Arial"/>
      <w:b/>
      <w:color w:val="6B728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