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40280" cy="1013460"/>
            <wp:docPr id="1" name="Picture 1"/>
            <wp:cNvGraphicFramePr>
              <a:graphicFrameLocks noChangeAspect="1"/>
            </wp:cNvGraphicFramePr>
            <a:graphic>
              <a:graphicData uri="http://schemas.openxmlformats.org/drawingml/2006/picture">
                <pic:pic>
                  <pic:nvPicPr>
                    <pic:cNvPr id="0" name="nod_logo_crop.png"/>
                    <pic:cNvPicPr/>
                  </pic:nvPicPr>
                  <pic:blipFill>
                    <a:blip r:embed="rId11"/>
                    <a:stretch>
                      <a:fillRect/>
                    </a:stretch>
                  </pic:blipFill>
                  <pic:spPr>
                    <a:xfrm>
                      <a:off x="0" y="0"/>
                      <a:ext cx="2240280" cy="1013460"/>
                    </a:xfrm>
                    <a:prstGeom prst="rect"/>
                  </pic:spPr>
                </pic:pic>
              </a:graphicData>
            </a:graphic>
          </wp:inline>
        </w:drawing>
      </w:r>
    </w:p>
    <w:p>
      <w:pPr>
        <w:spacing w:after="120"/>
        <w:jc w:val="center"/>
      </w:pPr>
      <w:r>
        <w:rPr>
          <w:b/>
          <w:color w:val="171717"/>
          <w:sz w:val="18"/>
        </w:rPr>
        <w:t>CONTROLLED DRAFT</w:t>
      </w:r>
    </w:p>
    <w:tbl>
      <w:tblPr>
        <w:tblW w:type="auto" w:w="0"/>
        <w:jc w:val="center"/>
        <w:tblLayout w:type="fixed"/>
        <w:tblLook w:firstColumn="1" w:firstRow="1" w:lastColumn="0" w:lastRow="0" w:noHBand="0" w:noVBand="1" w:val="04A0"/>
      </w:tblPr>
      <w:tblGrid>
        <w:gridCol w:w="8352"/>
      </w:tblGrid>
      <w:tr>
        <w:tc>
          <w:tcPr>
            <w:tcW w:type="dxa" w:w="9994"/>
            <w:shd w:fill="BFFF00"/>
          </w:tcPr>
          <w:p>
            <w:r/>
          </w:p>
        </w:tc>
      </w:tr>
    </w:tbl>
    <w:p>
      <w:pPr>
        <w:pStyle w:val="Title"/>
        <w:jc w:val="center"/>
      </w:pPr>
      <w:r>
        <w:t>Master Product, Engineering, Legal &amp; Launch Binder</w:t>
      </w:r>
    </w:p>
    <w:p>
      <w:pPr>
        <w:jc w:val="center"/>
      </w:pPr>
      <w:r>
        <w:rPr>
          <w:color w:val="6B7280"/>
          <w:sz w:val="24"/>
        </w:rPr>
        <w:t>Consolidated controlled documentation for Nod v1</w:t>
      </w:r>
    </w:p>
    <w:tbl>
      <w:tblPr>
        <w:tblStyle w:val="TableGrid"/>
        <w:tblW w:type="auto" w:w="0"/>
        <w:jc w:val="center"/>
        <w:tblLook w:firstColumn="1" w:firstRow="1" w:lastColumn="0" w:lastRow="0" w:noHBand="0" w:noVBand="1" w:val="04A0"/>
      </w:tblPr>
      <w:tblGrid>
        <w:gridCol w:w="4997"/>
        <w:gridCol w:w="4997"/>
      </w:tblGrid>
      <w:tr>
        <w:tc>
          <w:tcPr>
            <w:tcW w:type="dxa" w:w="4997"/>
            <w:shd w:fill="F4FFE6"/>
            <w:vAlign w:val="center"/>
          </w:tcPr>
          <w:p>
            <w:pPr>
              <w:spacing w:after="0"/>
            </w:pPr>
            <w:r>
              <w:rPr>
                <w:sz w:val="18"/>
              </w:rPr>
              <w:t>Product</w:t>
            </w:r>
          </w:p>
        </w:tc>
        <w:tc>
          <w:tcPr>
            <w:tcW w:type="dxa" w:w="4997"/>
            <w:vAlign w:val="center"/>
          </w:tcPr>
          <w:p>
            <w:pPr>
              <w:spacing w:after="0"/>
            </w:pPr>
            <w:r>
              <w:rPr>
                <w:sz w:val="18"/>
              </w:rPr>
              <w:t>Nod</w:t>
            </w:r>
          </w:p>
        </w:tc>
      </w:tr>
      <w:tr>
        <w:tc>
          <w:tcPr>
            <w:tcW w:type="dxa" w:w="4997"/>
            <w:shd w:fill="F4FFE6"/>
            <w:vAlign w:val="center"/>
          </w:tcPr>
          <w:p>
            <w:pPr>
              <w:spacing w:after="0"/>
            </w:pPr>
            <w:r>
              <w:rPr>
                <w:sz w:val="18"/>
              </w:rPr>
              <w:t>Document version</w:t>
            </w:r>
          </w:p>
        </w:tc>
        <w:tc>
          <w:tcPr>
            <w:tcW w:type="dxa" w:w="4997"/>
            <w:vAlign w:val="center"/>
          </w:tcPr>
          <w:p>
            <w:pPr>
              <w:spacing w:after="0"/>
            </w:pPr>
            <w:r>
              <w:rPr>
                <w:sz w:val="18"/>
              </w:rPr>
              <w:t>1.0</w:t>
            </w:r>
          </w:p>
        </w:tc>
      </w:tr>
      <w:tr>
        <w:tc>
          <w:tcPr>
            <w:tcW w:type="dxa" w:w="4997"/>
            <w:shd w:fill="F4FFE6"/>
            <w:vAlign w:val="center"/>
          </w:tcPr>
          <w:p>
            <w:pPr>
              <w:spacing w:after="0"/>
            </w:pPr>
            <w:r>
              <w:rPr>
                <w:sz w:val="18"/>
              </w:rPr>
              <w:t>Date</w:t>
            </w:r>
          </w:p>
        </w:tc>
        <w:tc>
          <w:tcPr>
            <w:tcW w:type="dxa" w:w="4997"/>
            <w:vAlign w:val="center"/>
          </w:tcPr>
          <w:p>
            <w:pPr>
              <w:spacing w:after="0"/>
            </w:pPr>
            <w:r>
              <w:rPr>
                <w:sz w:val="18"/>
              </w:rPr>
              <w:t>19 September 2026</w:t>
            </w:r>
          </w:p>
        </w:tc>
      </w:tr>
      <w:tr>
        <w:tc>
          <w:tcPr>
            <w:tcW w:type="dxa" w:w="4997"/>
            <w:shd w:fill="F4FFE6"/>
            <w:vAlign w:val="center"/>
          </w:tcPr>
          <w:p>
            <w:pPr>
              <w:spacing w:after="0"/>
            </w:pPr>
            <w:r>
              <w:rPr>
                <w:sz w:val="18"/>
              </w:rPr>
              <w:t>Owner / operator</w:t>
            </w:r>
          </w:p>
        </w:tc>
        <w:tc>
          <w:tcPr>
            <w:tcW w:type="dxa" w:w="4997"/>
            <w:vAlign w:val="center"/>
          </w:tcPr>
          <w:p>
            <w:pPr>
              <w:spacing w:after="0"/>
            </w:pPr>
            <w:r>
              <w:rPr>
                <w:sz w:val="18"/>
              </w:rPr>
              <w:t>[NOD OWNER / LEGAL ENTITY]</w:t>
            </w:r>
          </w:p>
        </w:tc>
      </w:tr>
      <w:tr>
        <w:tc>
          <w:tcPr>
            <w:tcW w:type="dxa" w:w="4997"/>
            <w:shd w:fill="F4FFE6"/>
            <w:vAlign w:val="center"/>
          </w:tcPr>
          <w:p>
            <w:pPr>
              <w:spacing w:after="0"/>
            </w:pPr>
            <w:r>
              <w:rPr>
                <w:sz w:val="18"/>
              </w:rPr>
              <w:t>Status</w:t>
            </w:r>
          </w:p>
        </w:tc>
        <w:tc>
          <w:tcPr>
            <w:tcW w:type="dxa" w:w="4997"/>
            <w:vAlign w:val="center"/>
          </w:tcPr>
          <w:p>
            <w:pPr>
              <w:spacing w:after="0"/>
            </w:pPr>
            <w:r>
              <w:rPr>
                <w:sz w:val="18"/>
              </w:rPr>
              <w:t>Controlled Draft</w:t>
            </w:r>
          </w:p>
        </w:tc>
      </w:tr>
    </w:tbl>
    <w:p/>
    <w:p>
      <w:r>
        <w:rPr>
          <w:b/>
        </w:rPr>
        <w:t xml:space="preserve">Release note: </w:t>
      </w:r>
      <w:r>
        <w:t>This pack is a production-ready baseline. Bracketed operator details must be completed before public release. Legal documents should be reviewed by Nigerian counsel before publication or execution.</w:t>
      </w:r>
    </w:p>
    <w:p>
      <w:r>
        <w:br w:type="page"/>
      </w:r>
    </w:p>
    <w:p>
      <w:pPr>
        <w:pStyle w:val="Heading1"/>
        <w:keepNext/>
      </w:pPr>
      <w:r>
        <w:t>How to use this binder</w:t>
      </w:r>
    </w:p>
    <w:p>
      <w:r>
        <w:t>This binder consolidates the full Nod documentation pack for review and archival. Individual controlled documents in the DOCX folder remain easier to edit and approve independently. Public/legal drafts retain placeholders that must be completed before release.</w:t>
      </w:r>
    </w:p>
    <w:p>
      <w:pPr>
        <w:pStyle w:val="Heading1"/>
        <w:keepNext/>
      </w:pPr>
      <w:r>
        <w:t>Pack contents</w:t>
      </w:r>
    </w:p>
    <w:p>
      <w:pPr>
        <w:pStyle w:val="ListNumber"/>
      </w:pPr>
      <w:r>
        <w:t>00 Nod Document Register and Launch Checklist</w:t>
      </w:r>
    </w:p>
    <w:p>
      <w:pPr>
        <w:pStyle w:val="ListNumber"/>
      </w:pPr>
      <w:r>
        <w:t>01 Nod Product Requirements Document</w:t>
      </w:r>
    </w:p>
    <w:p>
      <w:pPr>
        <w:pStyle w:val="ListNumber"/>
      </w:pPr>
      <w:r>
        <w:t>02 Nod Functional NFR Acceptance Requirements</w:t>
      </w:r>
    </w:p>
    <w:p>
      <w:pPr>
        <w:pStyle w:val="ListNumber"/>
      </w:pPr>
      <w:r>
        <w:t>03 Nod System Architecture and Technology Specification</w:t>
      </w:r>
    </w:p>
    <w:p>
      <w:pPr>
        <w:pStyle w:val="ListNumber"/>
      </w:pPr>
      <w:r>
        <w:t>04 Nod P2P Protocol and Data Model Specification</w:t>
      </w:r>
    </w:p>
    <w:p>
      <w:pPr>
        <w:pStyle w:val="ListNumber"/>
      </w:pPr>
      <w:r>
        <w:t>05 Nod Security Threat Model and Cryptography Specification</w:t>
      </w:r>
    </w:p>
    <w:p>
      <w:pPr>
        <w:pStyle w:val="ListNumber"/>
      </w:pPr>
      <w:r>
        <w:t>06 Nod Privacy DPIA Data Governance and Retention</w:t>
      </w:r>
    </w:p>
    <w:p>
      <w:pPr>
        <w:pStyle w:val="ListNumber"/>
      </w:pPr>
      <w:r>
        <w:t>07 Nod Permissions Background QuickNod Android Compliance</w:t>
      </w:r>
    </w:p>
    <w:p>
      <w:pPr>
        <w:pStyle w:val="ListNumber"/>
      </w:pPr>
      <w:r>
        <w:t>08 Nod UI UX Design System Accessibility Content</w:t>
      </w:r>
    </w:p>
    <w:p>
      <w:pPr>
        <w:pStyle w:val="ListNumber"/>
      </w:pPr>
      <w:r>
        <w:t>09 Nod QA Device Test Release and Signing Plan</w:t>
      </w:r>
    </w:p>
    <w:p>
      <w:pPr>
        <w:pStyle w:val="ListNumber"/>
      </w:pPr>
      <w:r>
        <w:t>10 Nod Privacy Policy</w:t>
      </w:r>
    </w:p>
    <w:p>
      <w:pPr>
        <w:pStyle w:val="ListNumber"/>
      </w:pPr>
      <w:r>
        <w:t>11 Nod Terms EULA Acceptable Use</w:t>
      </w:r>
    </w:p>
    <w:p>
      <w:pPr>
        <w:pStyle w:val="ListNumber"/>
      </w:pPr>
      <w:r>
        <w:t>12 Nod IP Copyright Trademark and Open Source Policy</w:t>
      </w:r>
    </w:p>
    <w:p>
      <w:pPr>
        <w:pStyle w:val="ListNumber"/>
      </w:pPr>
      <w:r>
        <w:t>13 Nod Developer Contractor IP Assignment and NDA Template</w:t>
      </w:r>
    </w:p>
    <w:p>
      <w:pPr>
        <w:pStyle w:val="ListNumber"/>
      </w:pPr>
      <w:r>
        <w:t>14 Nod Google Play Data Safety Listing Compliance Workbook</w:t>
      </w:r>
    </w:p>
    <w:p>
      <w:pPr>
        <w:pStyle w:val="ListNumber"/>
      </w:pPr>
      <w:r>
        <w:t>15 Nod Security Incident Vulnerability Disclosure and Support</w:t>
      </w:r>
    </w:p>
    <w:p>
      <w:pPr>
        <w:pStyle w:val="ListNumber"/>
      </w:pPr>
      <w:r>
        <w:t>16 Nod Change Management Maintenance and End of Life Policy</w:t>
      </w:r>
    </w:p>
    <w:p>
      <w:r>
        <w:br w:type="page"/>
      </w:r>
    </w:p>
    <w:p>
      <w:pPr>
        <w:jc w:val="center"/>
      </w:pPr>
      <w:r>
        <w:rPr>
          <w:b/>
          <w:color w:val="171717"/>
          <w:sz w:val="36"/>
        </w:rPr>
        <w:t>00 Nod Document Register and Launch Checklist</w:t>
      </w:r>
    </w:p>
    <w:tbl>
      <w:tblPr>
        <w:tblW w:type="auto" w:w="0"/>
        <w:tblLook w:firstColumn="1" w:firstRow="1" w:lastColumn="0" w:lastRow="0" w:noHBand="0" w:noVBand="1" w:val="04A0"/>
      </w:tblPr>
      <w:tblGrid>
        <w:gridCol w:w="9994"/>
      </w:tblGrid>
      <w:tr>
        <w:tc>
          <w:tcPr>
            <w:tcW w:type="dxa" w:w="9994"/>
            <w:shd w:fill="BFFF00"/>
          </w:tcPr>
          <w:p>
            <w:r/>
          </w:p>
        </w:tc>
      </w:tr>
    </w:tbl>
    <w:p>
      <w:pPr>
        <w:pStyle w:val="Heading1"/>
        <w:keepNext/>
      </w:pPr>
      <w:r>
        <w:t>1. Purpose</w:t>
      </w:r>
    </w:p>
    <w:p>
      <w:r>
        <w:t>This document is the control register for the Nod launch pack. It identifies what must be completed, approved, published or retained internally before Nod moves from prototype to public Google Play release.</w:t>
      </w:r>
    </w:p>
    <w:tbl>
      <w:tblPr>
        <w:tblW w:type="auto" w:w="0"/>
        <w:jc w:val="center"/>
        <w:tblLook w:firstColumn="1" w:firstRow="1" w:lastColumn="0" w:lastRow="0" w:noHBand="0" w:noVBand="1" w:val="04A0"/>
      </w:tblPr>
      <w:tblGrid>
        <w:gridCol w:w="9994"/>
      </w:tblGrid>
      <w:tr>
        <w:tc>
          <w:tcPr>
            <w:tcW w:type="dxa" w:w="9994"/>
            <w:shd w:fill="F4FFE6"/>
            <w:tcBorders>
              <w:left w:val="single" w:sz="18" w:color="BFFF00"/>
            </w:tcBorders>
          </w:tcPr>
          <w:p>
            <w:r>
              <w:rPr>
                <w:b/>
                <w:color w:val="171717"/>
              </w:rPr>
              <w:t>Launch principle</w:t>
              <w:br/>
            </w:r>
            <w:r>
              <w:t>Do not treat “app builds successfully” as launch readiness. Nod must simultaneously satisfy product acceptance, security, privacy, IP ownership, store-policy, support and operational requirements.</w:t>
            </w:r>
          </w:p>
        </w:tc>
      </w:tr>
    </w:tbl>
    <w:p>
      <w:pPr>
        <w:pStyle w:val="Heading1"/>
        <w:keepNext/>
      </w:pPr>
      <w:r>
        <w:t>2. Controlled document register</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171717"/>
          </w:tcPr>
          <w:p>
            <w:r>
              <w:rPr>
                <w:b/>
                <w:color w:val="FFFFFF"/>
                <w:sz w:val="17"/>
              </w:rPr>
              <w:t>ID</w:t>
            </w:r>
          </w:p>
        </w:tc>
        <w:tc>
          <w:tcPr>
            <w:tcW w:type="dxa" w:w="2498"/>
            <w:shd w:fill="171717"/>
          </w:tcPr>
          <w:p>
            <w:r>
              <w:rPr>
                <w:b/>
                <w:color w:val="FFFFFF"/>
                <w:sz w:val="17"/>
              </w:rPr>
              <w:t>Document</w:t>
            </w:r>
          </w:p>
        </w:tc>
        <w:tc>
          <w:tcPr>
            <w:tcW w:type="dxa" w:w="2498"/>
            <w:shd w:fill="171717"/>
          </w:tcPr>
          <w:p>
            <w:r>
              <w:rPr>
                <w:b/>
                <w:color w:val="FFFFFF"/>
                <w:sz w:val="17"/>
              </w:rPr>
              <w:t>Audience</w:t>
            </w:r>
          </w:p>
        </w:tc>
        <w:tc>
          <w:tcPr>
            <w:tcW w:type="dxa" w:w="2498"/>
            <w:shd w:fill="171717"/>
          </w:tcPr>
          <w:p>
            <w:r>
              <w:rPr>
                <w:b/>
                <w:color w:val="FFFFFF"/>
                <w:sz w:val="17"/>
              </w:rPr>
              <w:t>Gate</w:t>
            </w:r>
          </w:p>
        </w:tc>
      </w:tr>
      <w:tr>
        <w:tc>
          <w:tcPr>
            <w:tcW w:type="dxa" w:w="2498"/>
          </w:tcPr>
          <w:p>
            <w:pPr>
              <w:spacing w:after="0"/>
            </w:pPr>
            <w:r>
              <w:rPr>
                <w:sz w:val="17"/>
              </w:rPr>
              <w:t>00</w:t>
            </w:r>
          </w:p>
        </w:tc>
        <w:tc>
          <w:tcPr>
            <w:tcW w:type="dxa" w:w="2498"/>
          </w:tcPr>
          <w:p>
            <w:pPr>
              <w:spacing w:after="0"/>
            </w:pPr>
            <w:r>
              <w:rPr>
                <w:sz w:val="17"/>
              </w:rPr>
              <w:t>Document Register &amp; Launch Checklist</w:t>
            </w:r>
          </w:p>
        </w:tc>
        <w:tc>
          <w:tcPr>
            <w:tcW w:type="dxa" w:w="2498"/>
          </w:tcPr>
          <w:p>
            <w:pPr>
              <w:spacing w:after="0"/>
            </w:pPr>
            <w:r>
              <w:rPr>
                <w:sz w:val="17"/>
              </w:rPr>
              <w:t>Internal</w:t>
            </w:r>
          </w:p>
        </w:tc>
        <w:tc>
          <w:tcPr>
            <w:tcW w:type="dxa" w:w="2498"/>
          </w:tcPr>
          <w:p>
            <w:pPr>
              <w:spacing w:after="0"/>
            </w:pPr>
            <w:r>
              <w:rPr>
                <w:sz w:val="17"/>
              </w:rPr>
              <w:t>Required before release</w:t>
            </w:r>
          </w:p>
        </w:tc>
      </w:tr>
      <w:tr>
        <w:tc>
          <w:tcPr>
            <w:tcW w:type="dxa" w:w="2498"/>
            <w:shd w:fill="FAFAFA"/>
          </w:tcPr>
          <w:p>
            <w:pPr>
              <w:spacing w:after="0"/>
            </w:pPr>
            <w:r>
              <w:rPr>
                <w:sz w:val="17"/>
              </w:rPr>
              <w:t>01</w:t>
            </w:r>
          </w:p>
        </w:tc>
        <w:tc>
          <w:tcPr>
            <w:tcW w:type="dxa" w:w="2498"/>
            <w:shd w:fill="FAFAFA"/>
          </w:tcPr>
          <w:p>
            <w:pPr>
              <w:spacing w:after="0"/>
            </w:pPr>
            <w:r>
              <w:rPr>
                <w:sz w:val="17"/>
              </w:rPr>
              <w:t>Product Requirements Document</w:t>
            </w:r>
          </w:p>
        </w:tc>
        <w:tc>
          <w:tcPr>
            <w:tcW w:type="dxa" w:w="2498"/>
            <w:shd w:fill="FAFAFA"/>
          </w:tcPr>
          <w:p>
            <w:pPr>
              <w:spacing w:after="0"/>
            </w:pPr>
            <w:r>
              <w:rPr>
                <w:sz w:val="17"/>
              </w:rPr>
              <w:t>Internal</w:t>
            </w:r>
          </w:p>
        </w:tc>
        <w:tc>
          <w:tcPr>
            <w:tcW w:type="dxa" w:w="2498"/>
            <w:shd w:fill="FAFAFA"/>
          </w:tcPr>
          <w:p>
            <w:pPr>
              <w:spacing w:after="0"/>
            </w:pPr>
            <w:r>
              <w:rPr>
                <w:sz w:val="17"/>
              </w:rPr>
              <w:t>Required before coding freeze</w:t>
            </w:r>
          </w:p>
        </w:tc>
      </w:tr>
      <w:tr>
        <w:tc>
          <w:tcPr>
            <w:tcW w:type="dxa" w:w="2498"/>
          </w:tcPr>
          <w:p>
            <w:pPr>
              <w:spacing w:after="0"/>
            </w:pPr>
            <w:r>
              <w:rPr>
                <w:sz w:val="17"/>
              </w:rPr>
              <w:t>02</w:t>
            </w:r>
          </w:p>
        </w:tc>
        <w:tc>
          <w:tcPr>
            <w:tcW w:type="dxa" w:w="2498"/>
          </w:tcPr>
          <w:p>
            <w:pPr>
              <w:spacing w:after="0"/>
            </w:pPr>
            <w:r>
              <w:rPr>
                <w:sz w:val="17"/>
              </w:rPr>
              <w:t>Functional, Non-Functional &amp; Acceptance Requirements</w:t>
            </w:r>
          </w:p>
        </w:tc>
        <w:tc>
          <w:tcPr>
            <w:tcW w:type="dxa" w:w="2498"/>
          </w:tcPr>
          <w:p>
            <w:pPr>
              <w:spacing w:after="0"/>
            </w:pPr>
            <w:r>
              <w:rPr>
                <w:sz w:val="17"/>
              </w:rPr>
              <w:t>Internal</w:t>
            </w:r>
          </w:p>
        </w:tc>
        <w:tc>
          <w:tcPr>
            <w:tcW w:type="dxa" w:w="2498"/>
          </w:tcPr>
          <w:p>
            <w:pPr>
              <w:spacing w:after="0"/>
            </w:pPr>
            <w:r>
              <w:rPr>
                <w:sz w:val="17"/>
              </w:rPr>
              <w:t>Required before QA</w:t>
            </w:r>
          </w:p>
        </w:tc>
      </w:tr>
      <w:tr>
        <w:tc>
          <w:tcPr>
            <w:tcW w:type="dxa" w:w="2498"/>
            <w:shd w:fill="FAFAFA"/>
          </w:tcPr>
          <w:p>
            <w:pPr>
              <w:spacing w:after="0"/>
            </w:pPr>
            <w:r>
              <w:rPr>
                <w:sz w:val="17"/>
              </w:rPr>
              <w:t>03</w:t>
            </w:r>
          </w:p>
        </w:tc>
        <w:tc>
          <w:tcPr>
            <w:tcW w:type="dxa" w:w="2498"/>
            <w:shd w:fill="FAFAFA"/>
          </w:tcPr>
          <w:p>
            <w:pPr>
              <w:spacing w:after="0"/>
            </w:pPr>
            <w:r>
              <w:rPr>
                <w:sz w:val="17"/>
              </w:rPr>
              <w:t>System Architecture &amp; Technology Specification</w:t>
            </w:r>
          </w:p>
        </w:tc>
        <w:tc>
          <w:tcPr>
            <w:tcW w:type="dxa" w:w="2498"/>
            <w:shd w:fill="FAFAFA"/>
          </w:tcPr>
          <w:p>
            <w:pPr>
              <w:spacing w:after="0"/>
            </w:pPr>
            <w:r>
              <w:rPr>
                <w:sz w:val="17"/>
              </w:rPr>
              <w:t>Internal</w:t>
            </w:r>
          </w:p>
        </w:tc>
        <w:tc>
          <w:tcPr>
            <w:tcW w:type="dxa" w:w="2498"/>
            <w:shd w:fill="FAFAFA"/>
          </w:tcPr>
          <w:p>
            <w:pPr>
              <w:spacing w:after="0"/>
            </w:pPr>
            <w:r>
              <w:rPr>
                <w:sz w:val="17"/>
              </w:rPr>
              <w:t>Required before production coding</w:t>
            </w:r>
          </w:p>
        </w:tc>
      </w:tr>
      <w:tr>
        <w:tc>
          <w:tcPr>
            <w:tcW w:type="dxa" w:w="2498"/>
          </w:tcPr>
          <w:p>
            <w:pPr>
              <w:spacing w:after="0"/>
            </w:pPr>
            <w:r>
              <w:rPr>
                <w:sz w:val="17"/>
              </w:rPr>
              <w:t>04</w:t>
            </w:r>
          </w:p>
        </w:tc>
        <w:tc>
          <w:tcPr>
            <w:tcW w:type="dxa" w:w="2498"/>
          </w:tcPr>
          <w:p>
            <w:pPr>
              <w:spacing w:after="0"/>
            </w:pPr>
            <w:r>
              <w:rPr>
                <w:sz w:val="17"/>
              </w:rPr>
              <w:t>P2P Protocol &amp; Data Model Specification</w:t>
            </w:r>
          </w:p>
        </w:tc>
        <w:tc>
          <w:tcPr>
            <w:tcW w:type="dxa" w:w="2498"/>
          </w:tcPr>
          <w:p>
            <w:pPr>
              <w:spacing w:after="0"/>
            </w:pPr>
            <w:r>
              <w:rPr>
                <w:sz w:val="17"/>
              </w:rPr>
              <w:t>Internal</w:t>
            </w:r>
          </w:p>
        </w:tc>
        <w:tc>
          <w:tcPr>
            <w:tcW w:type="dxa" w:w="2498"/>
          </w:tcPr>
          <w:p>
            <w:pPr>
              <w:spacing w:after="0"/>
            </w:pPr>
            <w:r>
              <w:rPr>
                <w:sz w:val="17"/>
              </w:rPr>
              <w:t>Required before interoperability testing</w:t>
            </w:r>
          </w:p>
        </w:tc>
      </w:tr>
      <w:tr>
        <w:tc>
          <w:tcPr>
            <w:tcW w:type="dxa" w:w="2498"/>
            <w:shd w:fill="FAFAFA"/>
          </w:tcPr>
          <w:p>
            <w:pPr>
              <w:spacing w:after="0"/>
            </w:pPr>
            <w:r>
              <w:rPr>
                <w:sz w:val="17"/>
              </w:rPr>
              <w:t>05</w:t>
            </w:r>
          </w:p>
        </w:tc>
        <w:tc>
          <w:tcPr>
            <w:tcW w:type="dxa" w:w="2498"/>
            <w:shd w:fill="FAFAFA"/>
          </w:tcPr>
          <w:p>
            <w:pPr>
              <w:spacing w:after="0"/>
            </w:pPr>
            <w:r>
              <w:rPr>
                <w:sz w:val="17"/>
              </w:rPr>
              <w:t>Security, Threat Model &amp; Cryptography Specification</w:t>
            </w:r>
          </w:p>
        </w:tc>
        <w:tc>
          <w:tcPr>
            <w:tcW w:type="dxa" w:w="2498"/>
            <w:shd w:fill="FAFAFA"/>
          </w:tcPr>
          <w:p>
            <w:pPr>
              <w:spacing w:after="0"/>
            </w:pPr>
            <w:r>
              <w:rPr>
                <w:sz w:val="17"/>
              </w:rPr>
              <w:t>Internal</w:t>
            </w:r>
          </w:p>
        </w:tc>
        <w:tc>
          <w:tcPr>
            <w:tcW w:type="dxa" w:w="2498"/>
            <w:shd w:fill="FAFAFA"/>
          </w:tcPr>
          <w:p>
            <w:pPr>
              <w:spacing w:after="0"/>
            </w:pPr>
            <w:r>
              <w:rPr>
                <w:sz w:val="17"/>
              </w:rPr>
              <w:t>Required before beta</w:t>
            </w:r>
          </w:p>
        </w:tc>
      </w:tr>
      <w:tr>
        <w:tc>
          <w:tcPr>
            <w:tcW w:type="dxa" w:w="2498"/>
          </w:tcPr>
          <w:p>
            <w:pPr>
              <w:spacing w:after="0"/>
            </w:pPr>
            <w:r>
              <w:rPr>
                <w:sz w:val="17"/>
              </w:rPr>
              <w:t>06</w:t>
            </w:r>
          </w:p>
        </w:tc>
        <w:tc>
          <w:tcPr>
            <w:tcW w:type="dxa" w:w="2498"/>
          </w:tcPr>
          <w:p>
            <w:pPr>
              <w:spacing w:after="0"/>
            </w:pPr>
            <w:r>
              <w:rPr>
                <w:sz w:val="17"/>
              </w:rPr>
              <w:t>Privacy, DPIA, Data Governance &amp; Retention</w:t>
            </w:r>
          </w:p>
        </w:tc>
        <w:tc>
          <w:tcPr>
            <w:tcW w:type="dxa" w:w="2498"/>
          </w:tcPr>
          <w:p>
            <w:pPr>
              <w:spacing w:after="0"/>
            </w:pPr>
            <w:r>
              <w:rPr>
                <w:sz w:val="17"/>
              </w:rPr>
              <w:t>Internal / regulatory evidence</w:t>
            </w:r>
          </w:p>
        </w:tc>
        <w:tc>
          <w:tcPr>
            <w:tcW w:type="dxa" w:w="2498"/>
          </w:tcPr>
          <w:p>
            <w:pPr>
              <w:spacing w:after="0"/>
            </w:pPr>
            <w:r>
              <w:rPr>
                <w:sz w:val="17"/>
              </w:rPr>
              <w:t>Required before beta</w:t>
            </w:r>
          </w:p>
        </w:tc>
      </w:tr>
      <w:tr>
        <w:tc>
          <w:tcPr>
            <w:tcW w:type="dxa" w:w="2498"/>
            <w:shd w:fill="FAFAFA"/>
          </w:tcPr>
          <w:p>
            <w:pPr>
              <w:spacing w:after="0"/>
            </w:pPr>
            <w:r>
              <w:rPr>
                <w:sz w:val="17"/>
              </w:rPr>
              <w:t>07</w:t>
            </w:r>
          </w:p>
        </w:tc>
        <w:tc>
          <w:tcPr>
            <w:tcW w:type="dxa" w:w="2498"/>
            <w:shd w:fill="FAFAFA"/>
          </w:tcPr>
          <w:p>
            <w:pPr>
              <w:spacing w:after="0"/>
            </w:pPr>
            <w:r>
              <w:rPr>
                <w:sz w:val="17"/>
              </w:rPr>
              <w:t>Permissions, Background Services &amp; Android Compliance</w:t>
            </w:r>
          </w:p>
        </w:tc>
        <w:tc>
          <w:tcPr>
            <w:tcW w:type="dxa" w:w="2498"/>
            <w:shd w:fill="FAFAFA"/>
          </w:tcPr>
          <w:p>
            <w:pPr>
              <w:spacing w:after="0"/>
            </w:pPr>
            <w:r>
              <w:rPr>
                <w:sz w:val="17"/>
              </w:rPr>
              <w:t>Internal / Play evidence</w:t>
            </w:r>
          </w:p>
        </w:tc>
        <w:tc>
          <w:tcPr>
            <w:tcW w:type="dxa" w:w="2498"/>
            <w:shd w:fill="FAFAFA"/>
          </w:tcPr>
          <w:p>
            <w:pPr>
              <w:spacing w:after="0"/>
            </w:pPr>
            <w:r>
              <w:rPr>
                <w:sz w:val="17"/>
              </w:rPr>
              <w:t>Required before Play review</w:t>
            </w:r>
          </w:p>
        </w:tc>
      </w:tr>
      <w:tr>
        <w:tc>
          <w:tcPr>
            <w:tcW w:type="dxa" w:w="2498"/>
          </w:tcPr>
          <w:p>
            <w:pPr>
              <w:spacing w:after="0"/>
            </w:pPr>
            <w:r>
              <w:rPr>
                <w:sz w:val="17"/>
              </w:rPr>
              <w:t>08</w:t>
            </w:r>
          </w:p>
        </w:tc>
        <w:tc>
          <w:tcPr>
            <w:tcW w:type="dxa" w:w="2498"/>
          </w:tcPr>
          <w:p>
            <w:pPr>
              <w:spacing w:after="0"/>
            </w:pPr>
            <w:r>
              <w:rPr>
                <w:sz w:val="17"/>
              </w:rPr>
              <w:t>UI/UX Design System, Accessibility &amp; Content</w:t>
            </w:r>
          </w:p>
        </w:tc>
        <w:tc>
          <w:tcPr>
            <w:tcW w:type="dxa" w:w="2498"/>
          </w:tcPr>
          <w:p>
            <w:pPr>
              <w:spacing w:after="0"/>
            </w:pPr>
            <w:r>
              <w:rPr>
                <w:sz w:val="17"/>
              </w:rPr>
              <w:t>Internal</w:t>
            </w:r>
          </w:p>
        </w:tc>
        <w:tc>
          <w:tcPr>
            <w:tcW w:type="dxa" w:w="2498"/>
          </w:tcPr>
          <w:p>
            <w:pPr>
              <w:spacing w:after="0"/>
            </w:pPr>
            <w:r>
              <w:rPr>
                <w:sz w:val="17"/>
              </w:rPr>
              <w:t>Required before UI freeze</w:t>
            </w:r>
          </w:p>
        </w:tc>
      </w:tr>
      <w:tr>
        <w:tc>
          <w:tcPr>
            <w:tcW w:type="dxa" w:w="2498"/>
            <w:shd w:fill="FAFAFA"/>
          </w:tcPr>
          <w:p>
            <w:pPr>
              <w:spacing w:after="0"/>
            </w:pPr>
            <w:r>
              <w:rPr>
                <w:sz w:val="17"/>
              </w:rPr>
              <w:t>09</w:t>
            </w:r>
          </w:p>
        </w:tc>
        <w:tc>
          <w:tcPr>
            <w:tcW w:type="dxa" w:w="2498"/>
            <w:shd w:fill="FAFAFA"/>
          </w:tcPr>
          <w:p>
            <w:pPr>
              <w:spacing w:after="0"/>
            </w:pPr>
            <w:r>
              <w:rPr>
                <w:sz w:val="17"/>
              </w:rPr>
              <w:t>QA, Device Matrix, Release &amp; Signing Plan</w:t>
            </w:r>
          </w:p>
        </w:tc>
        <w:tc>
          <w:tcPr>
            <w:tcW w:type="dxa" w:w="2498"/>
            <w:shd w:fill="FAFAFA"/>
          </w:tcPr>
          <w:p>
            <w:pPr>
              <w:spacing w:after="0"/>
            </w:pPr>
            <w:r>
              <w:rPr>
                <w:sz w:val="17"/>
              </w:rPr>
              <w:t>Internal</w:t>
            </w:r>
          </w:p>
        </w:tc>
        <w:tc>
          <w:tcPr>
            <w:tcW w:type="dxa" w:w="2498"/>
            <w:shd w:fill="FAFAFA"/>
          </w:tcPr>
          <w:p>
            <w:pPr>
              <w:spacing w:after="0"/>
            </w:pPr>
            <w:r>
              <w:rPr>
                <w:sz w:val="17"/>
              </w:rPr>
              <w:t>Required before release candidate</w:t>
            </w:r>
          </w:p>
        </w:tc>
      </w:tr>
      <w:tr>
        <w:tc>
          <w:tcPr>
            <w:tcW w:type="dxa" w:w="2498"/>
          </w:tcPr>
          <w:p>
            <w:pPr>
              <w:spacing w:after="0"/>
            </w:pPr>
            <w:r>
              <w:rPr>
                <w:sz w:val="17"/>
              </w:rPr>
              <w:t>10</w:t>
            </w:r>
          </w:p>
        </w:tc>
        <w:tc>
          <w:tcPr>
            <w:tcW w:type="dxa" w:w="2498"/>
          </w:tcPr>
          <w:p>
            <w:pPr>
              <w:spacing w:after="0"/>
            </w:pPr>
            <w:r>
              <w:rPr>
                <w:sz w:val="17"/>
              </w:rPr>
              <w:t>Privacy Policy</w:t>
            </w:r>
          </w:p>
        </w:tc>
        <w:tc>
          <w:tcPr>
            <w:tcW w:type="dxa" w:w="2498"/>
          </w:tcPr>
          <w:p>
            <w:pPr>
              <w:spacing w:after="0"/>
            </w:pPr>
            <w:r>
              <w:rPr>
                <w:sz w:val="17"/>
              </w:rPr>
              <w:t>Public</w:t>
            </w:r>
          </w:p>
        </w:tc>
        <w:tc>
          <w:tcPr>
            <w:tcW w:type="dxa" w:w="2498"/>
          </w:tcPr>
          <w:p>
            <w:pPr>
              <w:spacing w:after="0"/>
            </w:pPr>
            <w:r>
              <w:rPr>
                <w:sz w:val="17"/>
              </w:rPr>
              <w:t>Required for Play listing and in-app</w:t>
            </w:r>
          </w:p>
        </w:tc>
      </w:tr>
      <w:tr>
        <w:tc>
          <w:tcPr>
            <w:tcW w:type="dxa" w:w="2498"/>
            <w:shd w:fill="FAFAFA"/>
          </w:tcPr>
          <w:p>
            <w:pPr>
              <w:spacing w:after="0"/>
            </w:pPr>
            <w:r>
              <w:rPr>
                <w:sz w:val="17"/>
              </w:rPr>
              <w:t>11</w:t>
            </w:r>
          </w:p>
        </w:tc>
        <w:tc>
          <w:tcPr>
            <w:tcW w:type="dxa" w:w="2498"/>
            <w:shd w:fill="FAFAFA"/>
          </w:tcPr>
          <w:p>
            <w:pPr>
              <w:spacing w:after="0"/>
            </w:pPr>
            <w:r>
              <w:rPr>
                <w:sz w:val="17"/>
              </w:rPr>
              <w:t>Terms of Use, EULA &amp; Acceptable Use</w:t>
            </w:r>
          </w:p>
        </w:tc>
        <w:tc>
          <w:tcPr>
            <w:tcW w:type="dxa" w:w="2498"/>
            <w:shd w:fill="FAFAFA"/>
          </w:tcPr>
          <w:p>
            <w:pPr>
              <w:spacing w:after="0"/>
            </w:pPr>
            <w:r>
              <w:rPr>
                <w:sz w:val="17"/>
              </w:rPr>
              <w:t>Public / contractual</w:t>
            </w:r>
          </w:p>
        </w:tc>
        <w:tc>
          <w:tcPr>
            <w:tcW w:type="dxa" w:w="2498"/>
            <w:shd w:fill="FAFAFA"/>
          </w:tcPr>
          <w:p>
            <w:pPr>
              <w:spacing w:after="0"/>
            </w:pPr>
            <w:r>
              <w:rPr>
                <w:sz w:val="17"/>
              </w:rPr>
              <w:t>Required before public release</w:t>
            </w:r>
          </w:p>
        </w:tc>
      </w:tr>
      <w:tr>
        <w:tc>
          <w:tcPr>
            <w:tcW w:type="dxa" w:w="2498"/>
          </w:tcPr>
          <w:p>
            <w:pPr>
              <w:spacing w:after="0"/>
            </w:pPr>
            <w:r>
              <w:rPr>
                <w:sz w:val="17"/>
              </w:rPr>
              <w:t>12</w:t>
            </w:r>
          </w:p>
        </w:tc>
        <w:tc>
          <w:tcPr>
            <w:tcW w:type="dxa" w:w="2498"/>
          </w:tcPr>
          <w:p>
            <w:pPr>
              <w:spacing w:after="0"/>
            </w:pPr>
            <w:r>
              <w:rPr>
                <w:sz w:val="17"/>
              </w:rPr>
              <w:t>IP, Copyright, Trademark &amp; Open-Source Policy</w:t>
            </w:r>
          </w:p>
        </w:tc>
        <w:tc>
          <w:tcPr>
            <w:tcW w:type="dxa" w:w="2498"/>
          </w:tcPr>
          <w:p>
            <w:pPr>
              <w:spacing w:after="0"/>
            </w:pPr>
            <w:r>
              <w:rPr>
                <w:sz w:val="17"/>
              </w:rPr>
              <w:t>Internal + public notices</w:t>
            </w:r>
          </w:p>
        </w:tc>
        <w:tc>
          <w:tcPr>
            <w:tcW w:type="dxa" w:w="2498"/>
          </w:tcPr>
          <w:p>
            <w:pPr>
              <w:spacing w:after="0"/>
            </w:pPr>
            <w:r>
              <w:rPr>
                <w:sz w:val="17"/>
              </w:rPr>
              <w:t>Required before public release</w:t>
            </w:r>
          </w:p>
        </w:tc>
      </w:tr>
      <w:tr>
        <w:tc>
          <w:tcPr>
            <w:tcW w:type="dxa" w:w="2498"/>
            <w:shd w:fill="FAFAFA"/>
          </w:tcPr>
          <w:p>
            <w:pPr>
              <w:spacing w:after="0"/>
            </w:pPr>
            <w:r>
              <w:rPr>
                <w:sz w:val="17"/>
              </w:rPr>
              <w:t>13</w:t>
            </w:r>
          </w:p>
        </w:tc>
        <w:tc>
          <w:tcPr>
            <w:tcW w:type="dxa" w:w="2498"/>
            <w:shd w:fill="FAFAFA"/>
          </w:tcPr>
          <w:p>
            <w:pPr>
              <w:spacing w:after="0"/>
            </w:pPr>
            <w:r>
              <w:rPr>
                <w:sz w:val="17"/>
              </w:rPr>
              <w:t>Developer/Contractor IP Assignment &amp; NDA Template</w:t>
            </w:r>
          </w:p>
        </w:tc>
        <w:tc>
          <w:tcPr>
            <w:tcW w:type="dxa" w:w="2498"/>
            <w:shd w:fill="FAFAFA"/>
          </w:tcPr>
          <w:p>
            <w:pPr>
              <w:spacing w:after="0"/>
            </w:pPr>
            <w:r>
              <w:rPr>
                <w:sz w:val="17"/>
              </w:rPr>
              <w:t>Contractual</w:t>
            </w:r>
          </w:p>
        </w:tc>
        <w:tc>
          <w:tcPr>
            <w:tcW w:type="dxa" w:w="2498"/>
            <w:shd w:fill="FAFAFA"/>
          </w:tcPr>
          <w:p>
            <w:pPr>
              <w:spacing w:after="0"/>
            </w:pPr>
            <w:r>
              <w:rPr>
                <w:sz w:val="17"/>
              </w:rPr>
              <w:t>Use before outside contribution</w:t>
            </w:r>
          </w:p>
        </w:tc>
      </w:tr>
      <w:tr>
        <w:tc>
          <w:tcPr>
            <w:tcW w:type="dxa" w:w="2498"/>
          </w:tcPr>
          <w:p>
            <w:pPr>
              <w:spacing w:after="0"/>
            </w:pPr>
            <w:r>
              <w:rPr>
                <w:sz w:val="17"/>
              </w:rPr>
              <w:t>14</w:t>
            </w:r>
          </w:p>
        </w:tc>
        <w:tc>
          <w:tcPr>
            <w:tcW w:type="dxa" w:w="2498"/>
          </w:tcPr>
          <w:p>
            <w:pPr>
              <w:spacing w:after="0"/>
            </w:pPr>
            <w:r>
              <w:rPr>
                <w:sz w:val="17"/>
              </w:rPr>
              <w:t>Google Play Data Safety, Listing &amp; Compliance Workbook</w:t>
            </w:r>
          </w:p>
        </w:tc>
        <w:tc>
          <w:tcPr>
            <w:tcW w:type="dxa" w:w="2498"/>
          </w:tcPr>
          <w:p>
            <w:pPr>
              <w:spacing w:after="0"/>
            </w:pPr>
            <w:r>
              <w:rPr>
                <w:sz w:val="17"/>
              </w:rPr>
              <w:t>Internal / submission</w:t>
            </w:r>
          </w:p>
        </w:tc>
        <w:tc>
          <w:tcPr>
            <w:tcW w:type="dxa" w:w="2498"/>
          </w:tcPr>
          <w:p>
            <w:pPr>
              <w:spacing w:after="0"/>
            </w:pPr>
            <w:r>
              <w:rPr>
                <w:sz w:val="17"/>
              </w:rPr>
              <w:t>Required before Play submission</w:t>
            </w:r>
          </w:p>
        </w:tc>
      </w:tr>
      <w:tr>
        <w:tc>
          <w:tcPr>
            <w:tcW w:type="dxa" w:w="2498"/>
            <w:shd w:fill="FAFAFA"/>
          </w:tcPr>
          <w:p>
            <w:pPr>
              <w:spacing w:after="0"/>
            </w:pPr>
            <w:r>
              <w:rPr>
                <w:sz w:val="17"/>
              </w:rPr>
              <w:t>15</w:t>
            </w:r>
          </w:p>
        </w:tc>
        <w:tc>
          <w:tcPr>
            <w:tcW w:type="dxa" w:w="2498"/>
            <w:shd w:fill="FAFAFA"/>
          </w:tcPr>
          <w:p>
            <w:pPr>
              <w:spacing w:after="0"/>
            </w:pPr>
            <w:r>
              <w:rPr>
                <w:sz w:val="17"/>
              </w:rPr>
              <w:t>Security Incident Response, Vulnerability Disclosure &amp; Support</w:t>
            </w:r>
          </w:p>
        </w:tc>
        <w:tc>
          <w:tcPr>
            <w:tcW w:type="dxa" w:w="2498"/>
            <w:shd w:fill="FAFAFA"/>
          </w:tcPr>
          <w:p>
            <w:pPr>
              <w:spacing w:after="0"/>
            </w:pPr>
            <w:r>
              <w:rPr>
                <w:sz w:val="17"/>
              </w:rPr>
              <w:t>Internal + public VDP</w:t>
            </w:r>
          </w:p>
        </w:tc>
        <w:tc>
          <w:tcPr>
            <w:tcW w:type="dxa" w:w="2498"/>
            <w:shd w:fill="FAFAFA"/>
          </w:tcPr>
          <w:p>
            <w:pPr>
              <w:spacing w:after="0"/>
            </w:pPr>
            <w:r>
              <w:rPr>
                <w:sz w:val="17"/>
              </w:rPr>
              <w:t>Required before public release</w:t>
            </w:r>
          </w:p>
        </w:tc>
      </w:tr>
      <w:tr>
        <w:tc>
          <w:tcPr>
            <w:tcW w:type="dxa" w:w="2498"/>
          </w:tcPr>
          <w:p>
            <w:pPr>
              <w:spacing w:after="0"/>
            </w:pPr>
            <w:r>
              <w:rPr>
                <w:sz w:val="17"/>
              </w:rPr>
              <w:t>16</w:t>
            </w:r>
          </w:p>
        </w:tc>
        <w:tc>
          <w:tcPr>
            <w:tcW w:type="dxa" w:w="2498"/>
          </w:tcPr>
          <w:p>
            <w:pPr>
              <w:spacing w:after="0"/>
            </w:pPr>
            <w:r>
              <w:rPr>
                <w:sz w:val="17"/>
              </w:rPr>
              <w:t>Change Management, Maintenance &amp; End-of-Life Policy</w:t>
            </w:r>
          </w:p>
        </w:tc>
        <w:tc>
          <w:tcPr>
            <w:tcW w:type="dxa" w:w="2498"/>
          </w:tcPr>
          <w:p>
            <w:pPr>
              <w:spacing w:after="0"/>
            </w:pPr>
            <w:r>
              <w:rPr>
                <w:sz w:val="17"/>
              </w:rPr>
              <w:t>Internal / public where relevant</w:t>
            </w:r>
          </w:p>
        </w:tc>
        <w:tc>
          <w:tcPr>
            <w:tcW w:type="dxa" w:w="2498"/>
          </w:tcPr>
          <w:p>
            <w:pPr>
              <w:spacing w:after="0"/>
            </w:pPr>
            <w:r>
              <w:rPr>
                <w:sz w:val="17"/>
              </w:rPr>
              <w:t>Required before sustained operations</w:t>
            </w:r>
          </w:p>
        </w:tc>
      </w:tr>
    </w:tbl>
    <w:p>
      <w:pPr>
        <w:pStyle w:val="Heading1"/>
        <w:keepNext/>
      </w:pPr>
      <w:r>
        <w:t>3. Mandatory owner/operator information to complete</w:t>
      </w:r>
    </w:p>
    <w:p>
      <w:pPr>
        <w:pStyle w:val="ListBullet"/>
      </w:pPr>
      <w:r>
        <w:t>Legal owner/operator name and corporate status.</w:t>
      </w:r>
    </w:p>
    <w:p>
      <w:pPr>
        <w:pStyle w:val="ListBullet"/>
      </w:pPr>
      <w:r>
        <w:t>Registered business address and country of establishment.</w:t>
      </w:r>
    </w:p>
    <w:p>
      <w:pPr>
        <w:pStyle w:val="ListBullet"/>
      </w:pPr>
      <w:r>
        <w:t>Support email and privacy/DPO contact.</w:t>
      </w:r>
    </w:p>
    <w:p>
      <w:pPr>
        <w:pStyle w:val="ListBullet"/>
      </w:pPr>
      <w:r>
        <w:t>Public website domain and permanent privacy-policy URL.</w:t>
      </w:r>
    </w:p>
    <w:p>
      <w:pPr>
        <w:pStyle w:val="ListBullet"/>
      </w:pPr>
      <w:r>
        <w:t>Google Play developer account legal identity and verified contact details.</w:t>
      </w:r>
    </w:p>
    <w:p>
      <w:pPr>
        <w:pStyle w:val="ListBullet"/>
      </w:pPr>
      <w:r>
        <w:t>Copyright owner name and, if applicable, company registration number.</w:t>
      </w:r>
    </w:p>
    <w:p>
      <w:pPr>
        <w:pStyle w:val="ListBullet"/>
      </w:pPr>
      <w:r>
        <w:t>Trademark applicant/owner details for the Nod name and locked logo.</w:t>
      </w:r>
    </w:p>
    <w:p>
      <w:pPr>
        <w:pStyle w:val="ListBullet"/>
      </w:pPr>
      <w:r>
        <w:t>Named security incident lead and escalation contact.</w:t>
      </w:r>
    </w:p>
    <w:p>
      <w:pPr>
        <w:pStyle w:val="Heading1"/>
        <w:keepNext/>
      </w:pPr>
      <w:r>
        <w:t>4. Pre-release gate checklist</w:t>
      </w:r>
    </w:p>
    <w:tbl>
      <w:tblPr>
        <w:tblStyle w:val="TableGrid"/>
        <w:tblW w:type="auto" w:w="0"/>
        <w:jc w:val="center"/>
        <w:tblLook w:firstColumn="1" w:firstRow="1" w:lastColumn="0" w:lastRow="0" w:noHBand="0" w:noVBand="1" w:val="04A0"/>
      </w:tblPr>
      <w:tblGrid>
        <w:gridCol w:w="4997"/>
        <w:gridCol w:w="4997"/>
      </w:tblGrid>
      <w:tr>
        <w:tc>
          <w:tcPr>
            <w:tcW w:type="dxa" w:w="4997"/>
            <w:shd w:fill="171717"/>
          </w:tcPr>
          <w:p>
            <w:r>
              <w:rPr>
                <w:b/>
                <w:color w:val="FFFFFF"/>
                <w:sz w:val="17"/>
              </w:rPr>
              <w:t>Domain</w:t>
            </w:r>
          </w:p>
        </w:tc>
        <w:tc>
          <w:tcPr>
            <w:tcW w:type="dxa" w:w="4997"/>
            <w:shd w:fill="171717"/>
          </w:tcPr>
          <w:p>
            <w:r>
              <w:rPr>
                <w:b/>
                <w:color w:val="FFFFFF"/>
                <w:sz w:val="17"/>
              </w:rPr>
              <w:t>Release criterion</w:t>
            </w:r>
          </w:p>
        </w:tc>
      </w:tr>
      <w:tr>
        <w:tc>
          <w:tcPr>
            <w:tcW w:type="dxa" w:w="4997"/>
          </w:tcPr>
          <w:p>
            <w:pPr>
              <w:spacing w:after="0"/>
            </w:pPr>
            <w:r>
              <w:rPr>
                <w:sz w:val="17"/>
              </w:rPr>
              <w:t>Corporate / ownership</w:t>
            </w:r>
          </w:p>
        </w:tc>
        <w:tc>
          <w:tcPr>
            <w:tcW w:type="dxa" w:w="4997"/>
          </w:tcPr>
          <w:p>
            <w:pPr>
              <w:spacing w:after="0"/>
            </w:pPr>
            <w:r>
              <w:rPr>
                <w:sz w:val="17"/>
              </w:rPr>
              <w:t>Operator identity fixed; contributor IP assignments executed; copyright ownership chain documented.</w:t>
            </w:r>
          </w:p>
        </w:tc>
      </w:tr>
      <w:tr>
        <w:tc>
          <w:tcPr>
            <w:tcW w:type="dxa" w:w="4997"/>
            <w:shd w:fill="FAFAFA"/>
          </w:tcPr>
          <w:p>
            <w:pPr>
              <w:spacing w:after="0"/>
            </w:pPr>
            <w:r>
              <w:rPr>
                <w:sz w:val="17"/>
              </w:rPr>
              <w:t>Brand / IP</w:t>
            </w:r>
          </w:p>
        </w:tc>
        <w:tc>
          <w:tcPr>
            <w:tcW w:type="dxa" w:w="4997"/>
            <w:shd w:fill="FAFAFA"/>
          </w:tcPr>
          <w:p>
            <w:pPr>
              <w:spacing w:after="0"/>
            </w:pPr>
            <w:r>
              <w:rPr>
                <w:sz w:val="17"/>
              </w:rPr>
              <w:t>Nod logo locked; name/logo clearance performed; trademark filing decision recorded; NCC copyright notification decision recorded.</w:t>
            </w:r>
          </w:p>
        </w:tc>
      </w:tr>
      <w:tr>
        <w:tc>
          <w:tcPr>
            <w:tcW w:type="dxa" w:w="4997"/>
          </w:tcPr>
          <w:p>
            <w:pPr>
              <w:spacing w:after="0"/>
            </w:pPr>
            <w:r>
              <w:rPr>
                <w:sz w:val="17"/>
              </w:rPr>
              <w:t>Product</w:t>
            </w:r>
          </w:p>
        </w:tc>
        <w:tc>
          <w:tcPr>
            <w:tcW w:type="dxa" w:w="4997"/>
          </w:tcPr>
          <w:p>
            <w:pPr>
              <w:spacing w:after="0"/>
            </w:pPr>
            <w:r>
              <w:rPr>
                <w:sz w:val="17"/>
              </w:rPr>
              <w:t>PRD scope frozen; v1 exclusions confirmed; acceptance criteria signed off.</w:t>
            </w:r>
          </w:p>
        </w:tc>
      </w:tr>
      <w:tr>
        <w:tc>
          <w:tcPr>
            <w:tcW w:type="dxa" w:w="4997"/>
            <w:shd w:fill="FAFAFA"/>
          </w:tcPr>
          <w:p>
            <w:pPr>
              <w:spacing w:after="0"/>
            </w:pPr>
            <w:r>
              <w:rPr>
                <w:sz w:val="17"/>
              </w:rPr>
              <w:t>Transport</w:t>
            </w:r>
          </w:p>
        </w:tc>
        <w:tc>
          <w:tcPr>
            <w:tcW w:type="dxa" w:w="4997"/>
            <w:shd w:fill="FAFAFA"/>
          </w:tcPr>
          <w:p>
            <w:pPr>
              <w:spacing w:after="0"/>
            </w:pPr>
            <w:r>
              <w:rPr>
                <w:sz w:val="17"/>
              </w:rPr>
              <w:t>Two-phone PoC passed; Nearby transport verified; non-GMS strategy documented.</w:t>
            </w:r>
          </w:p>
        </w:tc>
      </w:tr>
      <w:tr>
        <w:tc>
          <w:tcPr>
            <w:tcW w:type="dxa" w:w="4997"/>
          </w:tcPr>
          <w:p>
            <w:pPr>
              <w:spacing w:after="0"/>
            </w:pPr>
            <w:r>
              <w:rPr>
                <w:sz w:val="17"/>
              </w:rPr>
              <w:t>Security</w:t>
            </w:r>
          </w:p>
        </w:tc>
        <w:tc>
          <w:tcPr>
            <w:tcW w:type="dxa" w:w="4997"/>
          </w:tcPr>
          <w:p>
            <w:pPr>
              <w:spacing w:after="0"/>
            </w:pPr>
            <w:r>
              <w:rPr>
                <w:sz w:val="17"/>
              </w:rPr>
              <w:t>Pair verification, encrypted sessions, integrity hashes, blocklist, temp-file cleanup and abuse controls tested.</w:t>
            </w:r>
          </w:p>
        </w:tc>
      </w:tr>
      <w:tr>
        <w:tc>
          <w:tcPr>
            <w:tcW w:type="dxa" w:w="4997"/>
            <w:shd w:fill="FAFAFA"/>
          </w:tcPr>
          <w:p>
            <w:pPr>
              <w:spacing w:after="0"/>
            </w:pPr>
            <w:r>
              <w:rPr>
                <w:sz w:val="17"/>
              </w:rPr>
              <w:t>Privacy</w:t>
            </w:r>
          </w:p>
        </w:tc>
        <w:tc>
          <w:tcPr>
            <w:tcW w:type="dxa" w:w="4997"/>
            <w:shd w:fill="FAFAFA"/>
          </w:tcPr>
          <w:p>
            <w:pPr>
              <w:spacing w:after="0"/>
            </w:pPr>
            <w:r>
              <w:rPr>
                <w:sz w:val="17"/>
              </w:rPr>
              <w:t>DPIA approved; profile/data inventory mapped; cloud backup exclusions verified; no undisclosed analytics/SDKs.</w:t>
            </w:r>
          </w:p>
        </w:tc>
      </w:tr>
      <w:tr>
        <w:tc>
          <w:tcPr>
            <w:tcW w:type="dxa" w:w="4997"/>
          </w:tcPr>
          <w:p>
            <w:pPr>
              <w:spacing w:after="0"/>
            </w:pPr>
            <w:r>
              <w:rPr>
                <w:sz w:val="17"/>
              </w:rPr>
              <w:t>Android</w:t>
            </w:r>
          </w:p>
        </w:tc>
        <w:tc>
          <w:tcPr>
            <w:tcW w:type="dxa" w:w="4997"/>
          </w:tcPr>
          <w:p>
            <w:pPr>
              <w:spacing w:after="0"/>
            </w:pPr>
            <w:r>
              <w:rPr>
                <w:sz w:val="17"/>
              </w:rPr>
              <w:t>minSdk/targetSdk set; permissions justified; foreground service declaration and demonstration prepared.</w:t>
            </w:r>
          </w:p>
        </w:tc>
      </w:tr>
      <w:tr>
        <w:tc>
          <w:tcPr>
            <w:tcW w:type="dxa" w:w="4997"/>
            <w:shd w:fill="FAFAFA"/>
          </w:tcPr>
          <w:p>
            <w:pPr>
              <w:spacing w:after="0"/>
            </w:pPr>
            <w:r>
              <w:rPr>
                <w:sz w:val="17"/>
              </w:rPr>
              <w:t>Store</w:t>
            </w:r>
          </w:p>
        </w:tc>
        <w:tc>
          <w:tcPr>
            <w:tcW w:type="dxa" w:w="4997"/>
            <w:shd w:fill="FAFAFA"/>
          </w:tcPr>
          <w:p>
            <w:pPr>
              <w:spacing w:after="0"/>
            </w:pPr>
            <w:r>
              <w:rPr>
                <w:sz w:val="17"/>
              </w:rPr>
              <w:t>Privacy URL active; Data Safety answers match code; content rating complete; app-access information supplied if needed.</w:t>
            </w:r>
          </w:p>
        </w:tc>
      </w:tr>
      <w:tr>
        <w:tc>
          <w:tcPr>
            <w:tcW w:type="dxa" w:w="4997"/>
          </w:tcPr>
          <w:p>
            <w:pPr>
              <w:spacing w:after="0"/>
            </w:pPr>
            <w:r>
              <w:rPr>
                <w:sz w:val="17"/>
              </w:rPr>
              <w:t>QA</w:t>
            </w:r>
          </w:p>
        </w:tc>
        <w:tc>
          <w:tcPr>
            <w:tcW w:type="dxa" w:w="4997"/>
          </w:tcPr>
          <w:p>
            <w:pPr>
              <w:spacing w:after="0"/>
            </w:pPr>
            <w:r>
              <w:rPr>
                <w:sz w:val="17"/>
              </w:rPr>
              <w:t>Device matrix passed; interruption/low storage/cancel/lock-screen cases passed; accessibility checks passed.</w:t>
            </w:r>
          </w:p>
        </w:tc>
      </w:tr>
      <w:tr>
        <w:tc>
          <w:tcPr>
            <w:tcW w:type="dxa" w:w="4997"/>
            <w:shd w:fill="FAFAFA"/>
          </w:tcPr>
          <w:p>
            <w:pPr>
              <w:spacing w:after="0"/>
            </w:pPr>
            <w:r>
              <w:rPr>
                <w:sz w:val="17"/>
              </w:rPr>
              <w:t>Release</w:t>
            </w:r>
          </w:p>
        </w:tc>
        <w:tc>
          <w:tcPr>
            <w:tcW w:type="dxa" w:w="4997"/>
            <w:shd w:fill="FAFAFA"/>
          </w:tcPr>
          <w:p>
            <w:pPr>
              <w:spacing w:after="0"/>
            </w:pPr>
            <w:r>
              <w:rPr>
                <w:sz w:val="17"/>
              </w:rPr>
              <w:t>Play App Signing configured; upload/release keys secured; rollback and staged rollout plan ready.</w:t>
            </w:r>
          </w:p>
        </w:tc>
      </w:tr>
      <w:tr>
        <w:tc>
          <w:tcPr>
            <w:tcW w:type="dxa" w:w="4997"/>
          </w:tcPr>
          <w:p>
            <w:pPr>
              <w:spacing w:after="0"/>
            </w:pPr>
            <w:r>
              <w:rPr>
                <w:sz w:val="17"/>
              </w:rPr>
              <w:t>Support</w:t>
            </w:r>
          </w:p>
        </w:tc>
        <w:tc>
          <w:tcPr>
            <w:tcW w:type="dxa" w:w="4997"/>
          </w:tcPr>
          <w:p>
            <w:pPr>
              <w:spacing w:after="0"/>
            </w:pPr>
            <w:r>
              <w:rPr>
                <w:sz w:val="17"/>
              </w:rPr>
              <w:t>Public support channel active; vulnerability disclosure published; incident playbook and complaint workflow ready.</w:t>
            </w:r>
          </w:p>
        </w:tc>
      </w:tr>
    </w:tbl>
    <w:p>
      <w:pPr>
        <w:pStyle w:val="Heading1"/>
        <w:keepNext/>
      </w:pPr>
      <w:r>
        <w:t>5. Legal review status</w:t>
      </w:r>
    </w:p>
    <w:tbl>
      <w:tblPr>
        <w:tblW w:type="auto" w:w="0"/>
        <w:jc w:val="center"/>
        <w:tblLook w:firstColumn="1" w:firstRow="1" w:lastColumn="0" w:lastRow="0" w:noHBand="0" w:noVBand="1" w:val="04A0"/>
      </w:tblPr>
      <w:tblGrid>
        <w:gridCol w:w="9994"/>
      </w:tblGrid>
      <w:tr>
        <w:tc>
          <w:tcPr>
            <w:tcW w:type="dxa" w:w="9994"/>
            <w:shd w:fill="FFF4D6"/>
            <w:tcBorders>
              <w:left w:val="single" w:sz="18" w:color="BFFF00"/>
            </w:tcBorders>
          </w:tcPr>
          <w:p>
            <w:r>
              <w:rPr>
                <w:b/>
                <w:color w:val="171717"/>
              </w:rPr>
              <w:t>Counsel review required</w:t>
              <w:br/>
            </w:r>
            <w:r>
              <w:t>The Privacy Policy, Terms/EULA, Acceptable Use provisions, IP assignment template and any regulatory registration conclusions must be reviewed against the operator’s actual legal entity, commercial model, target countries, age rating and data flows before publication or signature. This pack does not replace legal advice.</w:t>
            </w:r>
          </w:p>
        </w:tc>
      </w:tr>
    </w:tbl>
    <w:p>
      <w:pPr>
        <w:pStyle w:val="Heading1"/>
        <w:keepNext/>
      </w:pPr>
      <w:r>
        <w:t>Authoritative references</w:t>
      </w:r>
    </w:p>
    <w:p>
      <w:r>
        <w:t>These links are included for implementation and legal review. Requirements can change; verify them again immediately before release.</w:t>
      </w:r>
    </w:p>
    <w:p>
      <w:pPr>
        <w:pStyle w:val="ListBullet"/>
      </w:pPr>
      <w:r>
        <w:rPr>
          <w:b/>
        </w:rPr>
        <w:t xml:space="preserve">Nigeria Data Protection Act 2023: </w:t>
      </w:r>
      <w:r>
        <w:t>https://ndpc.gov.ng/download/nigeria-data-protection-act-2023</w:t>
      </w:r>
    </w:p>
    <w:p>
      <w:pPr>
        <w:pStyle w:val="ListBullet"/>
      </w:pPr>
      <w:r>
        <w:rPr>
          <w:b/>
        </w:rPr>
        <w:t xml:space="preserve">NDP Act General Application and Implementation Directive (GAID) 2025: </w:t>
      </w:r>
      <w:r>
        <w:t>https://ndpc.gov.ng/wp-content/uploads/2025/07/NDP-ACT-GAID-2025-MARCH-20TH.pdf</w:t>
      </w:r>
    </w:p>
    <w:p>
      <w:pPr>
        <w:pStyle w:val="ListBullet"/>
      </w:pPr>
      <w:r>
        <w:rPr>
          <w:b/>
        </w:rPr>
        <w:t xml:space="preserve">Nigeria Data Protection Commission resources: </w:t>
      </w:r>
      <w:r>
        <w:t>https://ndpc.gov.ng/resources/</w:t>
      </w:r>
    </w:p>
    <w:p>
      <w:pPr>
        <w:pStyle w:val="ListBullet"/>
      </w:pPr>
      <w:r>
        <w:rPr>
          <w:b/>
        </w:rPr>
        <w:t xml:space="preserve">Copyright Act 2022 - Nigerian Copyright Commission: </w:t>
      </w:r>
      <w:r>
        <w:t>https://www.copyright.gov.ng/CopyrightAct/</w:t>
      </w:r>
    </w:p>
    <w:p>
      <w:pPr>
        <w:pStyle w:val="ListBullet"/>
      </w:pPr>
      <w:r>
        <w:rPr>
          <w:b/>
        </w:rPr>
        <w:t xml:space="preserve">Nigerian Copyright eRegistration System: </w:t>
      </w:r>
      <w:r>
        <w:t>https://eregistration.copyright.gov.ng/</w:t>
      </w:r>
    </w:p>
    <w:p>
      <w:pPr>
        <w:pStyle w:val="ListBullet"/>
      </w:pPr>
      <w:r>
        <w:rPr>
          <w:b/>
        </w:rPr>
        <w:t xml:space="preserve">Google Play - User Data policy: </w:t>
      </w:r>
      <w:r>
        <w:t>https://support.google.com/googleplay/android-developer/answer/10144311</w:t>
      </w:r>
    </w:p>
    <w:p>
      <w:pPr>
        <w:pStyle w:val="ListBullet"/>
      </w:pPr>
      <w:r>
        <w:rPr>
          <w:b/>
        </w:rPr>
        <w:t xml:space="preserve">Google Play - Prepare your app for review: </w:t>
      </w:r>
      <w:r>
        <w:t>https://support.google.com/googleplay/android-developer/answer/9859455</w:t>
      </w:r>
    </w:p>
    <w:p>
      <w:pPr>
        <w:pStyle w:val="ListBullet"/>
      </w:pPr>
      <w:r>
        <w:rPr>
          <w:b/>
        </w:rPr>
        <w:t xml:space="preserve">Google Play - Target API requirements: </w:t>
      </w:r>
      <w:r>
        <w:t>https://support.google.com/googleplay/android-developer/answer/11926878</w:t>
      </w:r>
    </w:p>
    <w:p>
      <w:pPr>
        <w:pStyle w:val="ListBullet"/>
      </w:pPr>
      <w:r>
        <w:rPr>
          <w:b/>
        </w:rPr>
        <w:t xml:space="preserve">Google Play - Foreground service requirements: </w:t>
      </w:r>
      <w:r>
        <w:t>https://support.google.com/googleplay/android-developer/answer/13392821</w:t>
      </w:r>
    </w:p>
    <w:p>
      <w:r>
        <w:br w:type="page"/>
      </w:r>
    </w:p>
    <w:p>
      <w:pPr>
        <w:jc w:val="center"/>
      </w:pPr>
      <w:r>
        <w:rPr>
          <w:b/>
          <w:color w:val="171717"/>
          <w:sz w:val="36"/>
        </w:rPr>
        <w:t>01 Nod Product Requirements Document</w:t>
      </w:r>
    </w:p>
    <w:tbl>
      <w:tblPr>
        <w:tblW w:type="auto" w:w="0"/>
        <w:tblLook w:firstColumn="1" w:firstRow="1" w:lastColumn="0" w:lastRow="0" w:noHBand="0" w:noVBand="1" w:val="04A0"/>
      </w:tblPr>
      <w:tblGrid>
        <w:gridCol w:w="9994"/>
      </w:tblGrid>
      <w:tr>
        <w:tc>
          <w:tcPr>
            <w:tcW w:type="dxa" w:w="9994"/>
            <w:shd w:fill="BFFF00"/>
          </w:tcPr>
          <w:p>
            <w:r/>
          </w:p>
        </w:tc>
      </w:tr>
    </w:tbl>
    <w:p>
      <w:pPr>
        <w:pStyle w:val="Heading1"/>
        <w:keepNext/>
      </w:pPr>
      <w:r>
        <w:t>1. Product definition</w:t>
      </w:r>
    </w:p>
    <w:p>
      <w:r>
        <w:t>Nod is an Android-only, local-first nearby exchange application that allows two people to discover each other, mutually verify a connection and directly exchange selected contact details, photos, videos and documents without relying on a Nod cloud account or central content server.</w:t>
      </w:r>
    </w:p>
    <w:tbl>
      <w:tblPr>
        <w:tblW w:type="auto" w:w="0"/>
        <w:jc w:val="center"/>
        <w:tblLook w:firstColumn="1" w:firstRow="1" w:lastColumn="0" w:lastRow="0" w:noHBand="0" w:noVBand="1" w:val="04A0"/>
      </w:tblPr>
      <w:tblGrid>
        <w:gridCol w:w="9994"/>
      </w:tblGrid>
      <w:tr>
        <w:tc>
          <w:tcPr>
            <w:tcW w:type="dxa" w:w="9994"/>
            <w:shd w:fill="F4FFE6"/>
            <w:tcBorders>
              <w:left w:val="single" w:sz="18" w:color="BFFF00"/>
            </w:tcBorders>
          </w:tcPr>
          <w:p>
            <w:r>
              <w:rPr>
                <w:b/>
                <w:color w:val="171717"/>
              </w:rPr>
              <w:t>Core proposition</w:t>
              <w:br/>
            </w:r>
            <w:r>
              <w:t>Two Android phones. Nearby. No internet required for the exchange path. Discover, verify, choose, Nod.</w:t>
            </w:r>
          </w:p>
        </w:tc>
      </w:tr>
    </w:tbl>
    <w:p>
      <w:pPr>
        <w:pStyle w:val="Heading1"/>
        <w:keepNext/>
      </w:pPr>
      <w:r>
        <w:t>2. Brand</w:t>
      </w:r>
    </w:p>
    <w:p>
      <w:pPr>
        <w:pStyle w:val="ListBullet"/>
      </w:pPr>
      <w:r>
        <w:t>Product name: Nod.</w:t>
      </w:r>
    </w:p>
    <w:p>
      <w:pPr>
        <w:pStyle w:val="ListBullet"/>
      </w:pPr>
      <w:r>
        <w:t>Locked logo: black “Nod” wordmark with lemon-green circular accent.</w:t>
      </w:r>
    </w:p>
    <w:p>
      <w:pPr>
        <w:pStyle w:val="ListBullet"/>
      </w:pPr>
      <w:r>
        <w:t>Tagline: Closer. Faster. Yours.</w:t>
      </w:r>
    </w:p>
    <w:p>
      <w:pPr>
        <w:pStyle w:val="ListBullet"/>
      </w:pPr>
      <w:r>
        <w:t>Primary color: #BFFF00 lemon green.</w:t>
      </w:r>
    </w:p>
    <w:p>
      <w:pPr>
        <w:pStyle w:val="ListBullet"/>
      </w:pPr>
      <w:r>
        <w:t>Supporting colors: #FFFFFF white, #171717 charcoal, #F4FFE6 soft green.</w:t>
      </w:r>
    </w:p>
    <w:p>
      <w:pPr>
        <w:pStyle w:val="ListBullet"/>
      </w:pPr>
      <w:r>
        <w:t>Visual direction: clean, minimal, high-contrast, calm, direct.</w:t>
      </w:r>
    </w:p>
    <w:p>
      <w:pPr>
        <w:pStyle w:val="Heading1"/>
        <w:keepNext/>
      </w:pPr>
      <w:r>
        <w:t>3. Goals</w:t>
      </w:r>
    </w:p>
    <w:p>
      <w:pPr>
        <w:pStyle w:val="ListBullet"/>
      </w:pPr>
      <w:r>
        <w:t>Make nearby exchange faster and easier than QR/manual contact entry or complex sharing utilities.</w:t>
      </w:r>
    </w:p>
    <w:p>
      <w:pPr>
        <w:pStyle w:val="ListBullet"/>
      </w:pPr>
      <w:r>
        <w:t>Keep the user’s Nod Profile local to the device by default.</w:t>
      </w:r>
    </w:p>
    <w:p>
      <w:pPr>
        <w:pStyle w:val="ListBullet"/>
      </w:pPr>
      <w:r>
        <w:t>Require explicit consent both for device connection and content receipt.</w:t>
      </w:r>
    </w:p>
    <w:p>
      <w:pPr>
        <w:pStyle w:val="ListBullet"/>
      </w:pPr>
      <w:r>
        <w:t>Provide a memorable Quick Nod experience using shake-three-times and Quick Settings entry points.</w:t>
      </w:r>
    </w:p>
    <w:p>
      <w:pPr>
        <w:pStyle w:val="ListBullet"/>
      </w:pPr>
      <w:r>
        <w:t>Support Android 8+ while targeting current Google Play API requirements.</w:t>
      </w:r>
    </w:p>
    <w:p>
      <w:pPr>
        <w:pStyle w:val="ListBullet"/>
      </w:pPr>
      <w:r>
        <w:t>Build transport abstraction so the product is not permanently coupled to a single wireless implementation.</w:t>
      </w:r>
    </w:p>
    <w:p>
      <w:pPr>
        <w:pStyle w:val="Heading1"/>
        <w:keepNext/>
      </w:pPr>
      <w:r>
        <w:t>4. Non-goals for v1</w:t>
      </w:r>
    </w:p>
    <w:p>
      <w:pPr>
        <w:pStyle w:val="ListBullet"/>
      </w:pPr>
      <w:r>
        <w:t>No iOS client.</w:t>
      </w:r>
    </w:p>
    <w:p>
      <w:pPr>
        <w:pStyle w:val="ListBullet"/>
      </w:pPr>
      <w:r>
        <w:t>No web/desktop client.</w:t>
      </w:r>
    </w:p>
    <w:p>
      <w:pPr>
        <w:pStyle w:val="ListBullet"/>
      </w:pPr>
      <w:r>
        <w:t>No group/multi-peer transfer.</w:t>
      </w:r>
    </w:p>
    <w:p>
      <w:pPr>
        <w:pStyle w:val="ListBullet"/>
      </w:pPr>
      <w:r>
        <w:t>No account creation.</w:t>
      </w:r>
    </w:p>
    <w:p>
      <w:pPr>
        <w:pStyle w:val="ListBullet"/>
      </w:pPr>
      <w:r>
        <w:t>No remote internet transfer.</w:t>
      </w:r>
    </w:p>
    <w:p>
      <w:pPr>
        <w:pStyle w:val="ListBullet"/>
      </w:pPr>
      <w:r>
        <w:t>No messaging or social feed.</w:t>
      </w:r>
    </w:p>
    <w:p>
      <w:pPr>
        <w:pStyle w:val="ListBullet"/>
      </w:pPr>
      <w:r>
        <w:t>No cloud contact sync.</w:t>
      </w:r>
    </w:p>
    <w:p>
      <w:pPr>
        <w:pStyle w:val="ListBullet"/>
      </w:pPr>
      <w:r>
        <w:t>No automatic saving of received contacts or files without recipient approval.</w:t>
      </w:r>
    </w:p>
    <w:p>
      <w:pPr>
        <w:pStyle w:val="ListBullet"/>
      </w:pPr>
      <w:r>
        <w:t>No permanent public discoverability.</w:t>
      </w:r>
    </w:p>
    <w:p>
      <w:pPr>
        <w:pStyle w:val="Heading1"/>
        <w:keepNext/>
      </w:pPr>
      <w:r>
        <w:t>5. Primary personas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71717"/>
          </w:tcPr>
          <w:p>
            <w:r>
              <w:rPr>
                <w:b/>
                <w:color w:val="FFFFFF"/>
                <w:sz w:val="17"/>
              </w:rPr>
              <w:t>Persona</w:t>
            </w:r>
          </w:p>
        </w:tc>
        <w:tc>
          <w:tcPr>
            <w:tcW w:type="dxa" w:w="3331"/>
            <w:shd w:fill="171717"/>
          </w:tcPr>
          <w:p>
            <w:r>
              <w:rPr>
                <w:b/>
                <w:color w:val="FFFFFF"/>
                <w:sz w:val="17"/>
              </w:rPr>
              <w:t>Need</w:t>
            </w:r>
          </w:p>
        </w:tc>
        <w:tc>
          <w:tcPr>
            <w:tcW w:type="dxa" w:w="3331"/>
            <w:shd w:fill="171717"/>
          </w:tcPr>
          <w:p>
            <w:r>
              <w:rPr>
                <w:b/>
                <w:color w:val="FFFFFF"/>
                <w:sz w:val="17"/>
              </w:rPr>
              <w:t>Success</w:t>
            </w:r>
          </w:p>
        </w:tc>
      </w:tr>
      <w:tr>
        <w:tc>
          <w:tcPr>
            <w:tcW w:type="dxa" w:w="3331"/>
          </w:tcPr>
          <w:p>
            <w:pPr>
              <w:spacing w:after="0"/>
            </w:pPr>
            <w:r>
              <w:rPr>
                <w:sz w:val="17"/>
              </w:rPr>
              <w:t>Everyday Android user</w:t>
            </w:r>
          </w:p>
        </w:tc>
        <w:tc>
          <w:tcPr>
            <w:tcW w:type="dxa" w:w="3331"/>
          </w:tcPr>
          <w:p>
            <w:pPr>
              <w:spacing w:after="0"/>
            </w:pPr>
            <w:r>
              <w:rPr>
                <w:sz w:val="17"/>
              </w:rPr>
              <w:t>Send a few files or contact details quickly</w:t>
            </w:r>
          </w:p>
        </w:tc>
        <w:tc>
          <w:tcPr>
            <w:tcW w:type="dxa" w:w="3331"/>
          </w:tcPr>
          <w:p>
            <w:pPr>
              <w:spacing w:after="0"/>
            </w:pPr>
            <w:r>
              <w:rPr>
                <w:sz w:val="17"/>
              </w:rPr>
              <w:t>Peer found, verified and transfer completed with minimal steps.</w:t>
            </w:r>
          </w:p>
        </w:tc>
      </w:tr>
      <w:tr>
        <w:tc>
          <w:tcPr>
            <w:tcW w:type="dxa" w:w="3331"/>
            <w:shd w:fill="FAFAFA"/>
          </w:tcPr>
          <w:p>
            <w:pPr>
              <w:spacing w:after="0"/>
            </w:pPr>
            <w:r>
              <w:rPr>
                <w:sz w:val="17"/>
              </w:rPr>
              <w:t>Professional/networking user</w:t>
            </w:r>
          </w:p>
        </w:tc>
        <w:tc>
          <w:tcPr>
            <w:tcW w:type="dxa" w:w="3331"/>
            <w:shd w:fill="FAFAFA"/>
          </w:tcPr>
          <w:p>
            <w:pPr>
              <w:spacing w:after="0"/>
            </w:pPr>
            <w:r>
              <w:rPr>
                <w:sz w:val="17"/>
              </w:rPr>
              <w:t>Share selected business details</w:t>
            </w:r>
          </w:p>
        </w:tc>
        <w:tc>
          <w:tcPr>
            <w:tcW w:type="dxa" w:w="3331"/>
            <w:shd w:fill="FAFAFA"/>
          </w:tcPr>
          <w:p>
            <w:pPr>
              <w:spacing w:after="0"/>
            </w:pPr>
            <w:r>
              <w:rPr>
                <w:sz w:val="17"/>
              </w:rPr>
              <w:t>Work share profile sent without exposing personal fields.</w:t>
            </w:r>
          </w:p>
        </w:tc>
      </w:tr>
      <w:tr>
        <w:tc>
          <w:tcPr>
            <w:tcW w:type="dxa" w:w="3331"/>
          </w:tcPr>
          <w:p>
            <w:pPr>
              <w:spacing w:after="0"/>
            </w:pPr>
            <w:r>
              <w:rPr>
                <w:sz w:val="17"/>
              </w:rPr>
              <w:t>Event/campus user</w:t>
            </w:r>
          </w:p>
        </w:tc>
        <w:tc>
          <w:tcPr>
            <w:tcW w:type="dxa" w:w="3331"/>
          </w:tcPr>
          <w:p>
            <w:pPr>
              <w:spacing w:after="0"/>
            </w:pPr>
            <w:r>
              <w:rPr>
                <w:sz w:val="17"/>
              </w:rPr>
              <w:t>Exchange with nearby people repeatedly</w:t>
            </w:r>
          </w:p>
        </w:tc>
        <w:tc>
          <w:tcPr>
            <w:tcW w:type="dxa" w:w="3331"/>
          </w:tcPr>
          <w:p>
            <w:pPr>
              <w:spacing w:after="0"/>
            </w:pPr>
            <w:r>
              <w:rPr>
                <w:sz w:val="17"/>
              </w:rPr>
              <w:t>Quick Nod launches discovery rapidly and unwanted peers can be blocked.</w:t>
            </w:r>
          </w:p>
        </w:tc>
      </w:tr>
      <w:tr>
        <w:tc>
          <w:tcPr>
            <w:tcW w:type="dxa" w:w="3331"/>
            <w:shd w:fill="FAFAFA"/>
          </w:tcPr>
          <w:p>
            <w:pPr>
              <w:spacing w:after="0"/>
            </w:pPr>
            <w:r>
              <w:rPr>
                <w:sz w:val="17"/>
              </w:rPr>
              <w:t>Low-connectivity user</w:t>
            </w:r>
          </w:p>
        </w:tc>
        <w:tc>
          <w:tcPr>
            <w:tcW w:type="dxa" w:w="3331"/>
            <w:shd w:fill="FAFAFA"/>
          </w:tcPr>
          <w:p>
            <w:pPr>
              <w:spacing w:after="0"/>
            </w:pPr>
            <w:r>
              <w:rPr>
                <w:sz w:val="17"/>
              </w:rPr>
              <w:t>Share without purchasing mobile data</w:t>
            </w:r>
          </w:p>
        </w:tc>
        <w:tc>
          <w:tcPr>
            <w:tcW w:type="dxa" w:w="3331"/>
            <w:shd w:fill="FAFAFA"/>
          </w:tcPr>
          <w:p>
            <w:pPr>
              <w:spacing w:after="0"/>
            </w:pPr>
            <w:r>
              <w:rPr>
                <w:sz w:val="17"/>
              </w:rPr>
              <w:t>Exchange works through local wireless path.</w:t>
            </w:r>
          </w:p>
        </w:tc>
      </w:tr>
    </w:tbl>
    <w:p>
      <w:pPr>
        <w:pStyle w:val="Heading1"/>
        <w:keepNext/>
      </w:pPr>
      <w:r>
        <w:t>6. Core features</w:t>
      </w:r>
    </w:p>
    <w:p>
      <w:pPr>
        <w:pStyle w:val="ListNumber"/>
      </w:pPr>
      <w:r>
        <w:t>Nod Profile stored locally with name, avatar, phone(s), email(s), and extensible optional fields.</w:t>
      </w:r>
    </w:p>
    <w:p>
      <w:pPr>
        <w:pStyle w:val="ListNumber"/>
      </w:pPr>
      <w:r>
        <w:t>Share Profiles: Quick, Personal and Professional presets.</w:t>
      </w:r>
    </w:p>
    <w:p>
      <w:pPr>
        <w:pStyle w:val="ListNumber"/>
      </w:pPr>
      <w:r>
        <w:t>Nearby discovery with temporary public alias, not full contact details.</w:t>
      </w:r>
    </w:p>
    <w:p>
      <w:pPr>
        <w:pStyle w:val="ListNumber"/>
      </w:pPr>
      <w:r>
        <w:t>Mutual connection request and human-verifiable matching code.</w:t>
      </w:r>
    </w:p>
    <w:p>
      <w:pPr>
        <w:pStyle w:val="ListNumber"/>
      </w:pPr>
      <w:r>
        <w:t>Contact offer and field-level consent before sending.</w:t>
      </w:r>
    </w:p>
    <w:p>
      <w:pPr>
        <w:pStyle w:val="ListNumber"/>
      </w:pPr>
      <w:r>
        <w:t>File selection, manifest preview, recipient approval, streamed transfer, integrity verification and finalization.</w:t>
      </w:r>
    </w:p>
    <w:p>
      <w:pPr>
        <w:pStyle w:val="ListNumber"/>
      </w:pPr>
      <w:r>
        <w:t>Quick Nod: shake phone three times to trigger a temporary discovery window when Always Ready is enabled.</w:t>
      </w:r>
    </w:p>
    <w:p>
      <w:pPr>
        <w:pStyle w:val="ListNumber"/>
      </w:pPr>
      <w:r>
        <w:t>Quick Settings tile that invokes the same Quick Nod domain action.</w:t>
      </w:r>
    </w:p>
    <w:p>
      <w:pPr>
        <w:pStyle w:val="ListNumber"/>
      </w:pPr>
      <w:r>
        <w:t>Optional Always Ready foreground-service mode; not equivalent to continuous discovery.</w:t>
      </w:r>
    </w:p>
    <w:p>
      <w:pPr>
        <w:pStyle w:val="ListNumber"/>
      </w:pPr>
      <w:r>
        <w:t>Offline phone-number scanner using on-device OCR with review/edit/copy step.</w:t>
      </w:r>
    </w:p>
    <w:p>
      <w:pPr>
        <w:pStyle w:val="ListNumber"/>
      </w:pPr>
      <w:r>
        <w:t>Transfer history containing minimal metadata rather than full payload copies.</w:t>
      </w:r>
    </w:p>
    <w:p>
      <w:pPr>
        <w:pStyle w:val="ListNumber"/>
      </w:pPr>
      <w:r>
        <w:t>Blocklist, mute/throttle and decline controls.</w:t>
      </w:r>
    </w:p>
    <w:p>
      <w:pPr>
        <w:pStyle w:val="Heading1"/>
        <w:keepNext/>
      </w:pPr>
      <w:r>
        <w:t>7. Primary journeys</w:t>
      </w:r>
    </w:p>
    <w:p>
      <w:pPr>
        <w:pStyle w:val="Heading2"/>
        <w:keepNext/>
      </w:pPr>
      <w:r>
        <w:t>7.1 First run</w:t>
      </w:r>
    </w:p>
    <w:p>
      <w:r>
        <w:t>Welcome -&gt; create/import Nod Profile -&gt; choose sharing defaults -&gt; contextual nearby permission -&gt; optional Quick Nod / Always Ready setup -&gt; home.</w:t>
      </w:r>
    </w:p>
    <w:p>
      <w:pPr>
        <w:pStyle w:val="Heading2"/>
        <w:keepNext/>
      </w:pPr>
      <w:r>
        <w:t>7.2 Send contact</w:t>
      </w:r>
    </w:p>
    <w:p>
      <w:r>
        <w:t>Start Quick Nod -&gt; discover peer -&gt; request connection -&gt; verify code -&gt; choose Share Profile/fields -&gt; recipient accepts contact offer -&gt; transfer -&gt; recipient chooses whether to save to Android Contacts.</w:t>
      </w:r>
    </w:p>
    <w:p>
      <w:pPr>
        <w:pStyle w:val="Heading2"/>
        <w:keepNext/>
      </w:pPr>
      <w:r>
        <w:t>7.3 Send files</w:t>
      </w:r>
    </w:p>
    <w:p>
      <w:r>
        <w:t>Select files -&gt; preview -&gt; connect/verify peer -&gt; transmit manifest -&gt; recipient approves -&gt; capacity check -&gt; streamed transfer -&gt; SHA-256 verification -&gt; finalize into user-visible storage -&gt; completion.</w:t>
      </w:r>
    </w:p>
    <w:p>
      <w:pPr>
        <w:pStyle w:val="Heading1"/>
        <w:keepNext/>
      </w:pPr>
      <w:r>
        <w:t>8. Success metrics</w:t>
      </w:r>
    </w:p>
    <w:tbl>
      <w:tblPr>
        <w:tblStyle w:val="TableGrid"/>
        <w:tblW w:type="auto" w:w="0"/>
        <w:jc w:val="center"/>
        <w:tblLook w:firstColumn="1" w:firstRow="1" w:lastColumn="0" w:lastRow="0" w:noHBand="0" w:noVBand="1" w:val="04A0"/>
      </w:tblPr>
      <w:tblGrid>
        <w:gridCol w:w="4997"/>
        <w:gridCol w:w="4997"/>
      </w:tblGrid>
      <w:tr>
        <w:tc>
          <w:tcPr>
            <w:tcW w:type="dxa" w:w="4997"/>
            <w:shd w:fill="171717"/>
          </w:tcPr>
          <w:p>
            <w:r>
              <w:rPr>
                <w:b/>
                <w:color w:val="FFFFFF"/>
                <w:sz w:val="17"/>
              </w:rPr>
              <w:t>Metric</w:t>
            </w:r>
          </w:p>
        </w:tc>
        <w:tc>
          <w:tcPr>
            <w:tcW w:type="dxa" w:w="4997"/>
            <w:shd w:fill="171717"/>
          </w:tcPr>
          <w:p>
            <w:r>
              <w:rPr>
                <w:b/>
                <w:color w:val="FFFFFF"/>
                <w:sz w:val="17"/>
              </w:rPr>
              <w:t>Initial acceptance target</w:t>
            </w:r>
          </w:p>
        </w:tc>
      </w:tr>
      <w:tr>
        <w:tc>
          <w:tcPr>
            <w:tcW w:type="dxa" w:w="4997"/>
          </w:tcPr>
          <w:p>
            <w:pPr>
              <w:spacing w:after="0"/>
            </w:pPr>
            <w:r>
              <w:rPr>
                <w:sz w:val="17"/>
              </w:rPr>
              <w:t>Discovery success</w:t>
            </w:r>
          </w:p>
        </w:tc>
        <w:tc>
          <w:tcPr>
            <w:tcW w:type="dxa" w:w="4997"/>
          </w:tcPr>
          <w:p>
            <w:pPr>
              <w:spacing w:after="0"/>
            </w:pPr>
            <w:r>
              <w:rPr>
                <w:sz w:val="17"/>
              </w:rPr>
              <w:t>&gt;= 95% in supported-device controlled test matrix within the defined test radius.</w:t>
            </w:r>
          </w:p>
        </w:tc>
      </w:tr>
      <w:tr>
        <w:tc>
          <w:tcPr>
            <w:tcW w:type="dxa" w:w="4997"/>
            <w:shd w:fill="FAFAFA"/>
          </w:tcPr>
          <w:p>
            <w:pPr>
              <w:spacing w:after="0"/>
            </w:pPr>
            <w:r>
              <w:rPr>
                <w:sz w:val="17"/>
              </w:rPr>
              <w:t>Connection completion</w:t>
            </w:r>
          </w:p>
        </w:tc>
        <w:tc>
          <w:tcPr>
            <w:tcW w:type="dxa" w:w="4997"/>
            <w:shd w:fill="FAFAFA"/>
          </w:tcPr>
          <w:p>
            <w:pPr>
              <w:spacing w:after="0"/>
            </w:pPr>
            <w:r>
              <w:rPr>
                <w:sz w:val="17"/>
              </w:rPr>
              <w:t>&gt;= 95% after both users accept in controlled conditions.</w:t>
            </w:r>
          </w:p>
        </w:tc>
      </w:tr>
      <w:tr>
        <w:tc>
          <w:tcPr>
            <w:tcW w:type="dxa" w:w="4997"/>
          </w:tcPr>
          <w:p>
            <w:pPr>
              <w:spacing w:after="0"/>
            </w:pPr>
            <w:r>
              <w:rPr>
                <w:sz w:val="17"/>
              </w:rPr>
              <w:t>Transfer integrity</w:t>
            </w:r>
          </w:p>
        </w:tc>
        <w:tc>
          <w:tcPr>
            <w:tcW w:type="dxa" w:w="4997"/>
          </w:tcPr>
          <w:p>
            <w:pPr>
              <w:spacing w:after="0"/>
            </w:pPr>
            <w:r>
              <w:rPr>
                <w:sz w:val="17"/>
              </w:rPr>
              <w:t>100% of completed transfers pass hash verification.</w:t>
            </w:r>
          </w:p>
        </w:tc>
      </w:tr>
      <w:tr>
        <w:tc>
          <w:tcPr>
            <w:tcW w:type="dxa" w:w="4997"/>
            <w:shd w:fill="FAFAFA"/>
          </w:tcPr>
          <w:p>
            <w:pPr>
              <w:spacing w:after="0"/>
            </w:pPr>
            <w:r>
              <w:rPr>
                <w:sz w:val="17"/>
              </w:rPr>
              <w:t>Crash-free sessions</w:t>
            </w:r>
          </w:p>
        </w:tc>
        <w:tc>
          <w:tcPr>
            <w:tcW w:type="dxa" w:w="4997"/>
            <w:shd w:fill="FAFAFA"/>
          </w:tcPr>
          <w:p>
            <w:pPr>
              <w:spacing w:after="0"/>
            </w:pPr>
            <w:r>
              <w:rPr>
                <w:sz w:val="17"/>
              </w:rPr>
              <w:t>&gt;= 99.5% during beta device matrix.</w:t>
            </w:r>
          </w:p>
        </w:tc>
      </w:tr>
      <w:tr>
        <w:tc>
          <w:tcPr>
            <w:tcW w:type="dxa" w:w="4997"/>
          </w:tcPr>
          <w:p>
            <w:pPr>
              <w:spacing w:after="0"/>
            </w:pPr>
            <w:r>
              <w:rPr>
                <w:sz w:val="17"/>
              </w:rPr>
              <w:t>Accidental shake activation</w:t>
            </w:r>
          </w:p>
        </w:tc>
        <w:tc>
          <w:tcPr>
            <w:tcW w:type="dxa" w:w="4997"/>
          </w:tcPr>
          <w:p>
            <w:pPr>
              <w:spacing w:after="0"/>
            </w:pPr>
            <w:r>
              <w:rPr>
                <w:sz w:val="17"/>
              </w:rPr>
              <w:t>Low enough to pass field test; threshold to be empirically calibrated, not invented.</w:t>
            </w:r>
          </w:p>
        </w:tc>
      </w:tr>
      <w:tr>
        <w:tc>
          <w:tcPr>
            <w:tcW w:type="dxa" w:w="4997"/>
            <w:shd w:fill="FAFAFA"/>
          </w:tcPr>
          <w:p>
            <w:pPr>
              <w:spacing w:after="0"/>
            </w:pPr>
            <w:r>
              <w:rPr>
                <w:sz w:val="17"/>
              </w:rPr>
              <w:t>Permission completion</w:t>
            </w:r>
          </w:p>
        </w:tc>
        <w:tc>
          <w:tcPr>
            <w:tcW w:type="dxa" w:w="4997"/>
            <w:shd w:fill="FAFAFA"/>
          </w:tcPr>
          <w:p>
            <w:pPr>
              <w:spacing w:after="0"/>
            </w:pPr>
            <w:r>
              <w:rPr>
                <w:sz w:val="17"/>
              </w:rPr>
              <w:t>Users can continue using unaffected features after denying optional permissions.</w:t>
            </w:r>
          </w:p>
        </w:tc>
      </w:tr>
    </w:tbl>
    <w:p>
      <w:pPr>
        <w:pStyle w:val="Heading1"/>
        <w:keepNext/>
      </w:pPr>
      <w:r>
        <w:t>9. Release constraints</w:t>
      </w:r>
    </w:p>
    <w:p>
      <w:pPr>
        <w:pStyle w:val="ListBullet"/>
      </w:pPr>
      <w:r>
        <w:t>Native Kotlin/Compose implementation.</w:t>
      </w:r>
    </w:p>
    <w:p>
      <w:pPr>
        <w:pStyle w:val="ListBullet"/>
      </w:pPr>
      <w:r>
        <w:t>minSdk 26 (Android 8).</w:t>
      </w:r>
    </w:p>
    <w:p>
      <w:pPr>
        <w:pStyle w:val="ListBullet"/>
      </w:pPr>
      <w:r>
        <w:t>targetSdk 36 for Google Play submissions after 31 August 2026.</w:t>
      </w:r>
    </w:p>
    <w:p>
      <w:pPr>
        <w:pStyle w:val="ListBullet"/>
      </w:pPr>
      <w:r>
        <w:t>No backend required for v1 core exchange.</w:t>
      </w:r>
    </w:p>
    <w:p>
      <w:pPr>
        <w:pStyle w:val="ListBullet"/>
      </w:pPr>
      <w:r>
        <w:t>Nearby Connections is first transport; architecture must permit replacement/fallback transport.</w:t>
      </w:r>
    </w:p>
    <w:p>
      <w:pPr>
        <w:pStyle w:val="Heading1"/>
        <w:keepNext/>
      </w:pPr>
      <w:r>
        <w:t>10. Open decisions to close before release candidate</w:t>
      </w:r>
    </w:p>
    <w:p>
      <w:pPr>
        <w:pStyle w:val="ListBullet"/>
      </w:pPr>
      <w:r>
        <w:t>Final non-GMS support commitment.</w:t>
      </w:r>
    </w:p>
    <w:p>
      <w:pPr>
        <w:pStyle w:val="ListBullet"/>
      </w:pPr>
      <w:r>
        <w:t>Final age targeting/content-rating posture.</w:t>
      </w:r>
    </w:p>
    <w:p>
      <w:pPr>
        <w:pStyle w:val="ListBullet"/>
      </w:pPr>
      <w:r>
        <w:t>Commercial model, if any.</w:t>
      </w:r>
    </w:p>
    <w:p>
      <w:pPr>
        <w:pStyle w:val="ListBullet"/>
      </w:pPr>
      <w:r>
        <w:t>Exact public privacy/support domains.</w:t>
      </w:r>
    </w:p>
    <w:p>
      <w:pPr>
        <w:pStyle w:val="ListBullet"/>
      </w:pPr>
      <w:r>
        <w:t>Whether trusted-peer re-pairing is included in v1 or deferred.</w:t>
      </w:r>
    </w:p>
    <w:p>
      <w:pPr>
        <w:pStyle w:val="Heading1"/>
        <w:keepNext/>
      </w:pPr>
      <w:r>
        <w:t>Authoritative references</w:t>
      </w:r>
    </w:p>
    <w:p>
      <w:r>
        <w:t>These links are included for implementation and legal review. Requirements can change; verify them again immediately before release.</w:t>
      </w:r>
    </w:p>
    <w:p>
      <w:pPr>
        <w:pStyle w:val="ListBullet"/>
      </w:pPr>
      <w:r>
        <w:rPr>
          <w:b/>
        </w:rPr>
        <w:t xml:space="preserve">Nigeria Data Protection Act 2023: </w:t>
      </w:r>
      <w:r>
        <w:t>https://ndpc.gov.ng/download/nigeria-data-protection-act-2023</w:t>
      </w:r>
    </w:p>
    <w:p>
      <w:pPr>
        <w:pStyle w:val="ListBullet"/>
      </w:pPr>
      <w:r>
        <w:rPr>
          <w:b/>
        </w:rPr>
        <w:t xml:space="preserve">NDP Act General Application and Implementation Directive (GAID) 2025: </w:t>
      </w:r>
      <w:r>
        <w:t>https://ndpc.gov.ng/wp-content/uploads/2025/07/NDP-ACT-GAID-2025-MARCH-20TH.pdf</w:t>
      </w:r>
    </w:p>
    <w:p>
      <w:pPr>
        <w:pStyle w:val="ListBullet"/>
      </w:pPr>
      <w:r>
        <w:rPr>
          <w:b/>
        </w:rPr>
        <w:t xml:space="preserve">Nigeria Data Protection Commission resources: </w:t>
      </w:r>
      <w:r>
        <w:t>https://ndpc.gov.ng/resources/</w:t>
      </w:r>
    </w:p>
    <w:p>
      <w:pPr>
        <w:pStyle w:val="ListBullet"/>
      </w:pPr>
      <w:r>
        <w:rPr>
          <w:b/>
        </w:rPr>
        <w:t xml:space="preserve">Copyright Act 2022 - Nigerian Copyright Commission: </w:t>
      </w:r>
      <w:r>
        <w:t>https://www.copyright.gov.ng/CopyrightAct/</w:t>
      </w:r>
    </w:p>
    <w:p>
      <w:pPr>
        <w:pStyle w:val="ListBullet"/>
      </w:pPr>
      <w:r>
        <w:rPr>
          <w:b/>
        </w:rPr>
        <w:t xml:space="preserve">Nigerian Copyright eRegistration System: </w:t>
      </w:r>
      <w:r>
        <w:t>https://eregistration.copyright.gov.ng/</w:t>
      </w:r>
    </w:p>
    <w:p>
      <w:pPr>
        <w:pStyle w:val="ListBullet"/>
      </w:pPr>
      <w:r>
        <w:rPr>
          <w:b/>
        </w:rPr>
        <w:t xml:space="preserve">Google Play - User Data policy: </w:t>
      </w:r>
      <w:r>
        <w:t>https://support.google.com/googleplay/android-developer/answer/10144311</w:t>
      </w:r>
    </w:p>
    <w:p>
      <w:pPr>
        <w:pStyle w:val="ListBullet"/>
      </w:pPr>
      <w:r>
        <w:rPr>
          <w:b/>
        </w:rPr>
        <w:t xml:space="preserve">Google Play - Prepare your app for review: </w:t>
      </w:r>
      <w:r>
        <w:t>https://support.google.com/googleplay/android-developer/answer/9859455</w:t>
      </w:r>
    </w:p>
    <w:p>
      <w:pPr>
        <w:pStyle w:val="ListBullet"/>
      </w:pPr>
      <w:r>
        <w:rPr>
          <w:b/>
        </w:rPr>
        <w:t xml:space="preserve">Google Play - Target API requirements: </w:t>
      </w:r>
      <w:r>
        <w:t>https://support.google.com/googleplay/android-developer/answer/11926878</w:t>
      </w:r>
    </w:p>
    <w:p>
      <w:pPr>
        <w:pStyle w:val="ListBullet"/>
      </w:pPr>
      <w:r>
        <w:rPr>
          <w:b/>
        </w:rPr>
        <w:t xml:space="preserve">Google Play - Foreground service requirements: </w:t>
      </w:r>
      <w:r>
        <w:t>https://support.google.com/googleplay/android-developer/answer/13392821</w:t>
      </w:r>
    </w:p>
    <w:p>
      <w:r>
        <w:br w:type="page"/>
      </w:r>
    </w:p>
    <w:p>
      <w:pPr>
        <w:jc w:val="center"/>
      </w:pPr>
      <w:r>
        <w:rPr>
          <w:b/>
          <w:color w:val="171717"/>
          <w:sz w:val="36"/>
        </w:rPr>
        <w:t>02 Nod Functional NFR Acceptance Requirements</w:t>
      </w:r>
    </w:p>
    <w:tbl>
      <w:tblPr>
        <w:tblW w:type="auto" w:w="0"/>
        <w:tblLook w:firstColumn="1" w:firstRow="1" w:lastColumn="0" w:lastRow="0" w:noHBand="0" w:noVBand="1" w:val="04A0"/>
      </w:tblPr>
      <w:tblGrid>
        <w:gridCol w:w="9994"/>
      </w:tblGrid>
      <w:tr>
        <w:tc>
          <w:tcPr>
            <w:tcW w:type="dxa" w:w="9994"/>
            <w:shd w:fill="BFFF00"/>
          </w:tcPr>
          <w:p>
            <w:r/>
          </w:p>
        </w:tc>
      </w:tr>
    </w:tbl>
    <w:p>
      <w:pPr>
        <w:pStyle w:val="Heading1"/>
        <w:keepNext/>
      </w:pPr>
      <w:r>
        <w:t>1. Requirement conventions</w:t>
      </w:r>
    </w:p>
    <w:p>
      <w:r>
        <w:t>“Shall” denotes a mandatory v1 requirement. Each requirement should map to implementation tickets and at least one automated or manual acceptance test.</w:t>
      </w:r>
    </w:p>
    <w:p>
      <w:pPr>
        <w:pStyle w:val="Heading1"/>
        <w:keepNext/>
      </w:pPr>
      <w:r>
        <w:t>2. Functional requirements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71717"/>
          </w:tcPr>
          <w:p>
            <w:r>
              <w:rPr>
                <w:b/>
                <w:color w:val="FFFFFF"/>
                <w:sz w:val="17"/>
              </w:rPr>
              <w:t>ID</w:t>
            </w:r>
          </w:p>
        </w:tc>
        <w:tc>
          <w:tcPr>
            <w:tcW w:type="dxa" w:w="3331"/>
            <w:shd w:fill="171717"/>
          </w:tcPr>
          <w:p>
            <w:r>
              <w:rPr>
                <w:b/>
                <w:color w:val="FFFFFF"/>
                <w:sz w:val="17"/>
              </w:rPr>
              <w:t>Area</w:t>
            </w:r>
          </w:p>
        </w:tc>
        <w:tc>
          <w:tcPr>
            <w:tcW w:type="dxa" w:w="3331"/>
            <w:shd w:fill="171717"/>
          </w:tcPr>
          <w:p>
            <w:r>
              <w:rPr>
                <w:b/>
                <w:color w:val="FFFFFF"/>
                <w:sz w:val="17"/>
              </w:rPr>
              <w:t>Requirement</w:t>
            </w:r>
          </w:p>
        </w:tc>
      </w:tr>
      <w:tr>
        <w:tc>
          <w:tcPr>
            <w:tcW w:type="dxa" w:w="3331"/>
          </w:tcPr>
          <w:p>
            <w:pPr>
              <w:spacing w:after="0"/>
            </w:pPr>
            <w:r>
              <w:rPr>
                <w:sz w:val="17"/>
              </w:rPr>
              <w:t>FR-001</w:t>
            </w:r>
          </w:p>
        </w:tc>
        <w:tc>
          <w:tcPr>
            <w:tcW w:type="dxa" w:w="3331"/>
          </w:tcPr>
          <w:p>
            <w:pPr>
              <w:spacing w:after="0"/>
            </w:pPr>
            <w:r>
              <w:rPr>
                <w:sz w:val="17"/>
              </w:rPr>
              <w:t>Profile</w:t>
            </w:r>
          </w:p>
        </w:tc>
        <w:tc>
          <w:tcPr>
            <w:tcW w:type="dxa" w:w="3331"/>
          </w:tcPr>
          <w:p>
            <w:pPr>
              <w:spacing w:after="0"/>
            </w:pPr>
            <w:r>
              <w:rPr>
                <w:sz w:val="17"/>
              </w:rPr>
              <w:t>Nod shall create and persist a local Nod Profile without requiring a remote account.</w:t>
            </w:r>
          </w:p>
        </w:tc>
      </w:tr>
      <w:tr>
        <w:tc>
          <w:tcPr>
            <w:tcW w:type="dxa" w:w="3331"/>
            <w:shd w:fill="FAFAFA"/>
          </w:tcPr>
          <w:p>
            <w:pPr>
              <w:spacing w:after="0"/>
            </w:pPr>
            <w:r>
              <w:rPr>
                <w:sz w:val="17"/>
              </w:rPr>
              <w:t>FR-002</w:t>
            </w:r>
          </w:p>
        </w:tc>
        <w:tc>
          <w:tcPr>
            <w:tcW w:type="dxa" w:w="3331"/>
            <w:shd w:fill="FAFAFA"/>
          </w:tcPr>
          <w:p>
            <w:pPr>
              <w:spacing w:after="0"/>
            </w:pPr>
            <w:r>
              <w:rPr>
                <w:sz w:val="17"/>
              </w:rPr>
              <w:t>Profile</w:t>
            </w:r>
          </w:p>
        </w:tc>
        <w:tc>
          <w:tcPr>
            <w:tcW w:type="dxa" w:w="3331"/>
            <w:shd w:fill="FAFAFA"/>
          </w:tcPr>
          <w:p>
            <w:pPr>
              <w:spacing w:after="0"/>
            </w:pPr>
            <w:r>
              <w:rPr>
                <w:sz w:val="17"/>
              </w:rPr>
              <w:t>Nod shall support multiple phone/email fields and optional avatar/company/job title/website/social link fields.</w:t>
            </w:r>
          </w:p>
        </w:tc>
      </w:tr>
      <w:tr>
        <w:tc>
          <w:tcPr>
            <w:tcW w:type="dxa" w:w="3331"/>
          </w:tcPr>
          <w:p>
            <w:pPr>
              <w:spacing w:after="0"/>
            </w:pPr>
            <w:r>
              <w:rPr>
                <w:sz w:val="17"/>
              </w:rPr>
              <w:t>FR-003</w:t>
            </w:r>
          </w:p>
        </w:tc>
        <w:tc>
          <w:tcPr>
            <w:tcW w:type="dxa" w:w="3331"/>
          </w:tcPr>
          <w:p>
            <w:pPr>
              <w:spacing w:after="0"/>
            </w:pPr>
            <w:r>
              <w:rPr>
                <w:sz w:val="17"/>
              </w:rPr>
              <w:t>Profile</w:t>
            </w:r>
          </w:p>
        </w:tc>
        <w:tc>
          <w:tcPr>
            <w:tcW w:type="dxa" w:w="3331"/>
          </w:tcPr>
          <w:p>
            <w:pPr>
              <w:spacing w:after="0"/>
            </w:pPr>
            <w:r>
              <w:rPr>
                <w:sz w:val="17"/>
              </w:rPr>
              <w:t>Nod shall support reusable Share Profiles and per-transfer field override.</w:t>
            </w:r>
          </w:p>
        </w:tc>
      </w:tr>
      <w:tr>
        <w:tc>
          <w:tcPr>
            <w:tcW w:type="dxa" w:w="3331"/>
            <w:shd w:fill="FAFAFA"/>
          </w:tcPr>
          <w:p>
            <w:pPr>
              <w:spacing w:after="0"/>
            </w:pPr>
            <w:r>
              <w:rPr>
                <w:sz w:val="17"/>
              </w:rPr>
              <w:t>FR-004</w:t>
            </w:r>
          </w:p>
        </w:tc>
        <w:tc>
          <w:tcPr>
            <w:tcW w:type="dxa" w:w="3331"/>
            <w:shd w:fill="FAFAFA"/>
          </w:tcPr>
          <w:p>
            <w:pPr>
              <w:spacing w:after="0"/>
            </w:pPr>
            <w:r>
              <w:rPr>
                <w:sz w:val="17"/>
              </w:rPr>
              <w:t>Discovery</w:t>
            </w:r>
          </w:p>
        </w:tc>
        <w:tc>
          <w:tcPr>
            <w:tcW w:type="dxa" w:w="3331"/>
            <w:shd w:fill="FAFAFA"/>
          </w:tcPr>
          <w:p>
            <w:pPr>
              <w:spacing w:after="0"/>
            </w:pPr>
            <w:r>
              <w:rPr>
                <w:sz w:val="17"/>
              </w:rPr>
              <w:t>Nod shall advertise only a temporary peer identifier and nearby alias needed for discovery, not full profile data.</w:t>
            </w:r>
          </w:p>
        </w:tc>
      </w:tr>
      <w:tr>
        <w:tc>
          <w:tcPr>
            <w:tcW w:type="dxa" w:w="3331"/>
          </w:tcPr>
          <w:p>
            <w:pPr>
              <w:spacing w:after="0"/>
            </w:pPr>
            <w:r>
              <w:rPr>
                <w:sz w:val="17"/>
              </w:rPr>
              <w:t>FR-005</w:t>
            </w:r>
          </w:p>
        </w:tc>
        <w:tc>
          <w:tcPr>
            <w:tcW w:type="dxa" w:w="3331"/>
          </w:tcPr>
          <w:p>
            <w:pPr>
              <w:spacing w:after="0"/>
            </w:pPr>
            <w:r>
              <w:rPr>
                <w:sz w:val="17"/>
              </w:rPr>
              <w:t>Discovery</w:t>
            </w:r>
          </w:p>
        </w:tc>
        <w:tc>
          <w:tcPr>
            <w:tcW w:type="dxa" w:w="3331"/>
          </w:tcPr>
          <w:p>
            <w:pPr>
              <w:spacing w:after="0"/>
            </w:pPr>
            <w:r>
              <w:rPr>
                <w:sz w:val="17"/>
              </w:rPr>
              <w:t>Nod shall provide a time-limited Quick Nod discovery window.</w:t>
            </w:r>
          </w:p>
        </w:tc>
      </w:tr>
      <w:tr>
        <w:tc>
          <w:tcPr>
            <w:tcW w:type="dxa" w:w="3331"/>
            <w:shd w:fill="FAFAFA"/>
          </w:tcPr>
          <w:p>
            <w:pPr>
              <w:spacing w:after="0"/>
            </w:pPr>
            <w:r>
              <w:rPr>
                <w:sz w:val="17"/>
              </w:rPr>
              <w:t>FR-006</w:t>
            </w:r>
          </w:p>
        </w:tc>
        <w:tc>
          <w:tcPr>
            <w:tcW w:type="dxa" w:w="3331"/>
            <w:shd w:fill="FAFAFA"/>
          </w:tcPr>
          <w:p>
            <w:pPr>
              <w:spacing w:after="0"/>
            </w:pPr>
            <w:r>
              <w:rPr>
                <w:sz w:val="17"/>
              </w:rPr>
              <w:t>Connection</w:t>
            </w:r>
          </w:p>
        </w:tc>
        <w:tc>
          <w:tcPr>
            <w:tcW w:type="dxa" w:w="3331"/>
            <w:shd w:fill="FAFAFA"/>
          </w:tcPr>
          <w:p>
            <w:pPr>
              <w:spacing w:after="0"/>
            </w:pPr>
            <w:r>
              <w:rPr>
                <w:sz w:val="17"/>
              </w:rPr>
              <w:t>Nod shall require explicit local acceptance by the receiving device.</w:t>
            </w:r>
          </w:p>
        </w:tc>
      </w:tr>
      <w:tr>
        <w:tc>
          <w:tcPr>
            <w:tcW w:type="dxa" w:w="3331"/>
          </w:tcPr>
          <w:p>
            <w:pPr>
              <w:spacing w:after="0"/>
            </w:pPr>
            <w:r>
              <w:rPr>
                <w:sz w:val="17"/>
              </w:rPr>
              <w:t>FR-007</w:t>
            </w:r>
          </w:p>
        </w:tc>
        <w:tc>
          <w:tcPr>
            <w:tcW w:type="dxa" w:w="3331"/>
          </w:tcPr>
          <w:p>
            <w:pPr>
              <w:spacing w:after="0"/>
            </w:pPr>
            <w:r>
              <w:rPr>
                <w:sz w:val="17"/>
              </w:rPr>
              <w:t>Connection</w:t>
            </w:r>
          </w:p>
        </w:tc>
        <w:tc>
          <w:tcPr>
            <w:tcW w:type="dxa" w:w="3331"/>
          </w:tcPr>
          <w:p>
            <w:pPr>
              <w:spacing w:after="0"/>
            </w:pPr>
            <w:r>
              <w:rPr>
                <w:sz w:val="17"/>
              </w:rPr>
              <w:t>Nod shall display a matching verification code/token on both devices before the session is considered trusted.</w:t>
            </w:r>
          </w:p>
        </w:tc>
      </w:tr>
      <w:tr>
        <w:tc>
          <w:tcPr>
            <w:tcW w:type="dxa" w:w="3331"/>
            <w:shd w:fill="FAFAFA"/>
          </w:tcPr>
          <w:p>
            <w:pPr>
              <w:spacing w:after="0"/>
            </w:pPr>
            <w:r>
              <w:rPr>
                <w:sz w:val="17"/>
              </w:rPr>
              <w:t>FR-008</w:t>
            </w:r>
          </w:p>
        </w:tc>
        <w:tc>
          <w:tcPr>
            <w:tcW w:type="dxa" w:w="3331"/>
            <w:shd w:fill="FAFAFA"/>
          </w:tcPr>
          <w:p>
            <w:pPr>
              <w:spacing w:after="0"/>
            </w:pPr>
            <w:r>
              <w:rPr>
                <w:sz w:val="17"/>
              </w:rPr>
              <w:t>Contacts</w:t>
            </w:r>
          </w:p>
        </w:tc>
        <w:tc>
          <w:tcPr>
            <w:tcW w:type="dxa" w:w="3331"/>
            <w:shd w:fill="FAFAFA"/>
          </w:tcPr>
          <w:p>
            <w:pPr>
              <w:spacing w:after="0"/>
            </w:pPr>
            <w:r>
              <w:rPr>
                <w:sz w:val="17"/>
              </w:rPr>
              <w:t>Nod shall preview outgoing contact fields before transmission.</w:t>
            </w:r>
          </w:p>
        </w:tc>
      </w:tr>
      <w:tr>
        <w:tc>
          <w:tcPr>
            <w:tcW w:type="dxa" w:w="3331"/>
          </w:tcPr>
          <w:p>
            <w:pPr>
              <w:spacing w:after="0"/>
            </w:pPr>
            <w:r>
              <w:rPr>
                <w:sz w:val="17"/>
              </w:rPr>
              <w:t>FR-009</w:t>
            </w:r>
          </w:p>
        </w:tc>
        <w:tc>
          <w:tcPr>
            <w:tcW w:type="dxa" w:w="3331"/>
          </w:tcPr>
          <w:p>
            <w:pPr>
              <w:spacing w:after="0"/>
            </w:pPr>
            <w:r>
              <w:rPr>
                <w:sz w:val="17"/>
              </w:rPr>
              <w:t>Contacts</w:t>
            </w:r>
          </w:p>
        </w:tc>
        <w:tc>
          <w:tcPr>
            <w:tcW w:type="dxa" w:w="3331"/>
          </w:tcPr>
          <w:p>
            <w:pPr>
              <w:spacing w:after="0"/>
            </w:pPr>
            <w:r>
              <w:rPr>
                <w:sz w:val="17"/>
              </w:rPr>
              <w:t>Nod shall let the receiver preview a contact before saving it to Android Contacts.</w:t>
            </w:r>
          </w:p>
        </w:tc>
      </w:tr>
      <w:tr>
        <w:tc>
          <w:tcPr>
            <w:tcW w:type="dxa" w:w="3331"/>
            <w:shd w:fill="FAFAFA"/>
          </w:tcPr>
          <w:p>
            <w:pPr>
              <w:spacing w:after="0"/>
            </w:pPr>
            <w:r>
              <w:rPr>
                <w:sz w:val="17"/>
              </w:rPr>
              <w:t>FR-010</w:t>
            </w:r>
          </w:p>
        </w:tc>
        <w:tc>
          <w:tcPr>
            <w:tcW w:type="dxa" w:w="3331"/>
            <w:shd w:fill="FAFAFA"/>
          </w:tcPr>
          <w:p>
            <w:pPr>
              <w:spacing w:after="0"/>
            </w:pPr>
            <w:r>
              <w:rPr>
                <w:sz w:val="17"/>
              </w:rPr>
              <w:t>Files</w:t>
            </w:r>
          </w:p>
        </w:tc>
        <w:tc>
          <w:tcPr>
            <w:tcW w:type="dxa" w:w="3331"/>
            <w:shd w:fill="FAFAFA"/>
          </w:tcPr>
          <w:p>
            <w:pPr>
              <w:spacing w:after="0"/>
            </w:pPr>
            <w:r>
              <w:rPr>
                <w:sz w:val="17"/>
              </w:rPr>
              <w:t>Nod shall support photos, videos and documents selected through Android-supported pickers.</w:t>
            </w:r>
          </w:p>
        </w:tc>
      </w:tr>
      <w:tr>
        <w:tc>
          <w:tcPr>
            <w:tcW w:type="dxa" w:w="3331"/>
          </w:tcPr>
          <w:p>
            <w:pPr>
              <w:spacing w:after="0"/>
            </w:pPr>
            <w:r>
              <w:rPr>
                <w:sz w:val="17"/>
              </w:rPr>
              <w:t>FR-011</w:t>
            </w:r>
          </w:p>
        </w:tc>
        <w:tc>
          <w:tcPr>
            <w:tcW w:type="dxa" w:w="3331"/>
          </w:tcPr>
          <w:p>
            <w:pPr>
              <w:spacing w:after="0"/>
            </w:pPr>
            <w:r>
              <w:rPr>
                <w:sz w:val="17"/>
              </w:rPr>
              <w:t>Files</w:t>
            </w:r>
          </w:p>
        </w:tc>
        <w:tc>
          <w:tcPr>
            <w:tcW w:type="dxa" w:w="3331"/>
          </w:tcPr>
          <w:p>
            <w:pPr>
              <w:spacing w:after="0"/>
            </w:pPr>
            <w:r>
              <w:rPr>
                <w:sz w:val="17"/>
              </w:rPr>
              <w:t>Nod shall send a metadata manifest before file payload transmission.</w:t>
            </w:r>
          </w:p>
        </w:tc>
      </w:tr>
      <w:tr>
        <w:tc>
          <w:tcPr>
            <w:tcW w:type="dxa" w:w="3331"/>
            <w:shd w:fill="FAFAFA"/>
          </w:tcPr>
          <w:p>
            <w:pPr>
              <w:spacing w:after="0"/>
            </w:pPr>
            <w:r>
              <w:rPr>
                <w:sz w:val="17"/>
              </w:rPr>
              <w:t>FR-012</w:t>
            </w:r>
          </w:p>
        </w:tc>
        <w:tc>
          <w:tcPr>
            <w:tcW w:type="dxa" w:w="3331"/>
            <w:shd w:fill="FAFAFA"/>
          </w:tcPr>
          <w:p>
            <w:pPr>
              <w:spacing w:after="0"/>
            </w:pPr>
            <w:r>
              <w:rPr>
                <w:sz w:val="17"/>
              </w:rPr>
              <w:t>Files</w:t>
            </w:r>
          </w:p>
        </w:tc>
        <w:tc>
          <w:tcPr>
            <w:tcW w:type="dxa" w:w="3331"/>
            <w:shd w:fill="FAFAFA"/>
          </w:tcPr>
          <w:p>
            <w:pPr>
              <w:spacing w:after="0"/>
            </w:pPr>
            <w:r>
              <w:rPr>
                <w:sz w:val="17"/>
              </w:rPr>
              <w:t>Nod shall check available storage before accepting large transfers where feasible.</w:t>
            </w:r>
          </w:p>
        </w:tc>
      </w:tr>
      <w:tr>
        <w:tc>
          <w:tcPr>
            <w:tcW w:type="dxa" w:w="3331"/>
          </w:tcPr>
          <w:p>
            <w:pPr>
              <w:spacing w:after="0"/>
            </w:pPr>
            <w:r>
              <w:rPr>
                <w:sz w:val="17"/>
              </w:rPr>
              <w:t>FR-013</w:t>
            </w:r>
          </w:p>
        </w:tc>
        <w:tc>
          <w:tcPr>
            <w:tcW w:type="dxa" w:w="3331"/>
          </w:tcPr>
          <w:p>
            <w:pPr>
              <w:spacing w:after="0"/>
            </w:pPr>
            <w:r>
              <w:rPr>
                <w:sz w:val="17"/>
              </w:rPr>
              <w:t>Transfer</w:t>
            </w:r>
          </w:p>
        </w:tc>
        <w:tc>
          <w:tcPr>
            <w:tcW w:type="dxa" w:w="3331"/>
          </w:tcPr>
          <w:p>
            <w:pPr>
              <w:spacing w:after="0"/>
            </w:pPr>
            <w:r>
              <w:rPr>
                <w:sz w:val="17"/>
              </w:rPr>
              <w:t>Nod shall expose progress, speed/ETA when reliable, cancellation and peer-disconnect states.</w:t>
            </w:r>
          </w:p>
        </w:tc>
      </w:tr>
      <w:tr>
        <w:tc>
          <w:tcPr>
            <w:tcW w:type="dxa" w:w="3331"/>
            <w:shd w:fill="FAFAFA"/>
          </w:tcPr>
          <w:p>
            <w:pPr>
              <w:spacing w:after="0"/>
            </w:pPr>
            <w:r>
              <w:rPr>
                <w:sz w:val="17"/>
              </w:rPr>
              <w:t>FR-014</w:t>
            </w:r>
          </w:p>
        </w:tc>
        <w:tc>
          <w:tcPr>
            <w:tcW w:type="dxa" w:w="3331"/>
            <w:shd w:fill="FAFAFA"/>
          </w:tcPr>
          <w:p>
            <w:pPr>
              <w:spacing w:after="0"/>
            </w:pPr>
            <w:r>
              <w:rPr>
                <w:sz w:val="17"/>
              </w:rPr>
              <w:t>Transfer</w:t>
            </w:r>
          </w:p>
        </w:tc>
        <w:tc>
          <w:tcPr>
            <w:tcW w:type="dxa" w:w="3331"/>
            <w:shd w:fill="FAFAFA"/>
          </w:tcPr>
          <w:p>
            <w:pPr>
              <w:spacing w:after="0"/>
            </w:pPr>
            <w:r>
              <w:rPr>
                <w:sz w:val="17"/>
              </w:rPr>
              <w:t>Nod shall hash and verify completed file payloads before finalization.</w:t>
            </w:r>
          </w:p>
        </w:tc>
      </w:tr>
      <w:tr>
        <w:tc>
          <w:tcPr>
            <w:tcW w:type="dxa" w:w="3331"/>
          </w:tcPr>
          <w:p>
            <w:pPr>
              <w:spacing w:after="0"/>
            </w:pPr>
            <w:r>
              <w:rPr>
                <w:sz w:val="17"/>
              </w:rPr>
              <w:t>FR-015</w:t>
            </w:r>
          </w:p>
        </w:tc>
        <w:tc>
          <w:tcPr>
            <w:tcW w:type="dxa" w:w="3331"/>
          </w:tcPr>
          <w:p>
            <w:pPr>
              <w:spacing w:after="0"/>
            </w:pPr>
            <w:r>
              <w:rPr>
                <w:sz w:val="17"/>
              </w:rPr>
              <w:t>Transfer</w:t>
            </w:r>
          </w:p>
        </w:tc>
        <w:tc>
          <w:tcPr>
            <w:tcW w:type="dxa" w:w="3331"/>
          </w:tcPr>
          <w:p>
            <w:pPr>
              <w:spacing w:after="0"/>
            </w:pPr>
            <w:r>
              <w:rPr>
                <w:sz w:val="17"/>
              </w:rPr>
              <w:t>Nod shall not expose incomplete files as completed user files.</w:t>
            </w:r>
          </w:p>
        </w:tc>
      </w:tr>
      <w:tr>
        <w:tc>
          <w:tcPr>
            <w:tcW w:type="dxa" w:w="3331"/>
            <w:shd w:fill="FAFAFA"/>
          </w:tcPr>
          <w:p>
            <w:pPr>
              <w:spacing w:after="0"/>
            </w:pPr>
            <w:r>
              <w:rPr>
                <w:sz w:val="17"/>
              </w:rPr>
              <w:t>FR-016</w:t>
            </w:r>
          </w:p>
        </w:tc>
        <w:tc>
          <w:tcPr>
            <w:tcW w:type="dxa" w:w="3331"/>
            <w:shd w:fill="FAFAFA"/>
          </w:tcPr>
          <w:p>
            <w:pPr>
              <w:spacing w:after="0"/>
            </w:pPr>
            <w:r>
              <w:rPr>
                <w:sz w:val="17"/>
              </w:rPr>
              <w:t>Quick Nod</w:t>
            </w:r>
          </w:p>
        </w:tc>
        <w:tc>
          <w:tcPr>
            <w:tcW w:type="dxa" w:w="3331"/>
            <w:shd w:fill="FAFAFA"/>
          </w:tcPr>
          <w:p>
            <w:pPr>
              <w:spacing w:after="0"/>
            </w:pPr>
            <w:r>
              <w:rPr>
                <w:sz w:val="17"/>
              </w:rPr>
              <w:t>Nod shall support a three-shake trigger only when the user has enabled the relevant Always Ready capability.</w:t>
            </w:r>
          </w:p>
        </w:tc>
      </w:tr>
      <w:tr>
        <w:tc>
          <w:tcPr>
            <w:tcW w:type="dxa" w:w="3331"/>
          </w:tcPr>
          <w:p>
            <w:pPr>
              <w:spacing w:after="0"/>
            </w:pPr>
            <w:r>
              <w:rPr>
                <w:sz w:val="17"/>
              </w:rPr>
              <w:t>FR-017</w:t>
            </w:r>
          </w:p>
        </w:tc>
        <w:tc>
          <w:tcPr>
            <w:tcW w:type="dxa" w:w="3331"/>
          </w:tcPr>
          <w:p>
            <w:pPr>
              <w:spacing w:after="0"/>
            </w:pPr>
            <w:r>
              <w:rPr>
                <w:sz w:val="17"/>
              </w:rPr>
              <w:t>Quick Nod</w:t>
            </w:r>
          </w:p>
        </w:tc>
        <w:tc>
          <w:tcPr>
            <w:tcW w:type="dxa" w:w="3331"/>
          </w:tcPr>
          <w:p>
            <w:pPr>
              <w:spacing w:after="0"/>
            </w:pPr>
            <w:r>
              <w:rPr>
                <w:sz w:val="17"/>
              </w:rPr>
              <w:t>Nod shall provide a Quick Settings tile that triggers the same Quick Nod use case.</w:t>
            </w:r>
          </w:p>
        </w:tc>
      </w:tr>
      <w:tr>
        <w:tc>
          <w:tcPr>
            <w:tcW w:type="dxa" w:w="3331"/>
            <w:shd w:fill="FAFAFA"/>
          </w:tcPr>
          <w:p>
            <w:pPr>
              <w:spacing w:after="0"/>
            </w:pPr>
            <w:r>
              <w:rPr>
                <w:sz w:val="17"/>
              </w:rPr>
              <w:t>FR-018</w:t>
            </w:r>
          </w:p>
        </w:tc>
        <w:tc>
          <w:tcPr>
            <w:tcW w:type="dxa" w:w="3331"/>
            <w:shd w:fill="FAFAFA"/>
          </w:tcPr>
          <w:p>
            <w:pPr>
              <w:spacing w:after="0"/>
            </w:pPr>
            <w:r>
              <w:rPr>
                <w:sz w:val="17"/>
              </w:rPr>
              <w:t>Background</w:t>
            </w:r>
          </w:p>
        </w:tc>
        <w:tc>
          <w:tcPr>
            <w:tcW w:type="dxa" w:w="3331"/>
            <w:shd w:fill="FAFAFA"/>
          </w:tcPr>
          <w:p>
            <w:pPr>
              <w:spacing w:after="0"/>
            </w:pPr>
            <w:r>
              <w:rPr>
                <w:sz w:val="17"/>
              </w:rPr>
              <w:t>Nod shall use a foreground service only for user-visible, declared capabilities that require it.</w:t>
            </w:r>
          </w:p>
        </w:tc>
      </w:tr>
      <w:tr>
        <w:tc>
          <w:tcPr>
            <w:tcW w:type="dxa" w:w="3331"/>
          </w:tcPr>
          <w:p>
            <w:pPr>
              <w:spacing w:after="0"/>
            </w:pPr>
            <w:r>
              <w:rPr>
                <w:sz w:val="17"/>
              </w:rPr>
              <w:t>FR-019</w:t>
            </w:r>
          </w:p>
        </w:tc>
        <w:tc>
          <w:tcPr>
            <w:tcW w:type="dxa" w:w="3331"/>
          </w:tcPr>
          <w:p>
            <w:pPr>
              <w:spacing w:after="0"/>
            </w:pPr>
            <w:r>
              <w:rPr>
                <w:sz w:val="17"/>
              </w:rPr>
              <w:t>Scanner</w:t>
            </w:r>
          </w:p>
        </w:tc>
        <w:tc>
          <w:tcPr>
            <w:tcW w:type="dxa" w:w="3331"/>
          </w:tcPr>
          <w:p>
            <w:pPr>
              <w:spacing w:after="0"/>
            </w:pPr>
            <w:r>
              <w:rPr>
                <w:sz w:val="17"/>
              </w:rPr>
              <w:t>Nod shall perform phone-number OCR locally where the bundled model is available and shall require review before copy/use.</w:t>
            </w:r>
          </w:p>
        </w:tc>
      </w:tr>
      <w:tr>
        <w:tc>
          <w:tcPr>
            <w:tcW w:type="dxa" w:w="3331"/>
            <w:shd w:fill="FAFAFA"/>
          </w:tcPr>
          <w:p>
            <w:pPr>
              <w:spacing w:after="0"/>
            </w:pPr>
            <w:r>
              <w:rPr>
                <w:sz w:val="17"/>
              </w:rPr>
              <w:t>FR-020</w:t>
            </w:r>
          </w:p>
        </w:tc>
        <w:tc>
          <w:tcPr>
            <w:tcW w:type="dxa" w:w="3331"/>
            <w:shd w:fill="FAFAFA"/>
          </w:tcPr>
          <w:p>
            <w:pPr>
              <w:spacing w:after="0"/>
            </w:pPr>
            <w:r>
              <w:rPr>
                <w:sz w:val="17"/>
              </w:rPr>
              <w:t>Safety</w:t>
            </w:r>
          </w:p>
        </w:tc>
        <w:tc>
          <w:tcPr>
            <w:tcW w:type="dxa" w:w="3331"/>
            <w:shd w:fill="FAFAFA"/>
          </w:tcPr>
          <w:p>
            <w:pPr>
              <w:spacing w:after="0"/>
            </w:pPr>
            <w:r>
              <w:rPr>
                <w:sz w:val="17"/>
              </w:rPr>
              <w:t>Nod shall support block, decline and temporary request throttling.</w:t>
            </w:r>
          </w:p>
        </w:tc>
      </w:tr>
      <w:tr>
        <w:tc>
          <w:tcPr>
            <w:tcW w:type="dxa" w:w="3331"/>
          </w:tcPr>
          <w:p>
            <w:pPr>
              <w:spacing w:after="0"/>
            </w:pPr>
            <w:r>
              <w:rPr>
                <w:sz w:val="17"/>
              </w:rPr>
              <w:t>FR-021</w:t>
            </w:r>
          </w:p>
        </w:tc>
        <w:tc>
          <w:tcPr>
            <w:tcW w:type="dxa" w:w="3331"/>
          </w:tcPr>
          <w:p>
            <w:pPr>
              <w:spacing w:after="0"/>
            </w:pPr>
            <w:r>
              <w:rPr>
                <w:sz w:val="17"/>
              </w:rPr>
              <w:t>History</w:t>
            </w:r>
          </w:p>
        </w:tc>
        <w:tc>
          <w:tcPr>
            <w:tcW w:type="dxa" w:w="3331"/>
          </w:tcPr>
          <w:p>
            <w:pPr>
              <w:spacing w:after="0"/>
            </w:pPr>
            <w:r>
              <w:rPr>
                <w:sz w:val="17"/>
              </w:rPr>
              <w:t>Nod shall store minimal transfer metadata and shall not retain full received contact payloads solely for history.</w:t>
            </w:r>
          </w:p>
        </w:tc>
      </w:tr>
      <w:tr>
        <w:tc>
          <w:tcPr>
            <w:tcW w:type="dxa" w:w="3331"/>
            <w:shd w:fill="FAFAFA"/>
          </w:tcPr>
          <w:p>
            <w:pPr>
              <w:spacing w:after="0"/>
            </w:pPr>
            <w:r>
              <w:rPr>
                <w:sz w:val="17"/>
              </w:rPr>
              <w:t>FR-022</w:t>
            </w:r>
          </w:p>
        </w:tc>
        <w:tc>
          <w:tcPr>
            <w:tcW w:type="dxa" w:w="3331"/>
            <w:shd w:fill="FAFAFA"/>
          </w:tcPr>
          <w:p>
            <w:pPr>
              <w:spacing w:after="0"/>
            </w:pPr>
            <w:r>
              <w:rPr>
                <w:sz w:val="17"/>
              </w:rPr>
              <w:t>Permissions</w:t>
            </w:r>
          </w:p>
        </w:tc>
        <w:tc>
          <w:tcPr>
            <w:tcW w:type="dxa" w:w="3331"/>
            <w:shd w:fill="FAFAFA"/>
          </w:tcPr>
          <w:p>
            <w:pPr>
              <w:spacing w:after="0"/>
            </w:pPr>
            <w:r>
              <w:rPr>
                <w:sz w:val="17"/>
              </w:rPr>
              <w:t>Nod shall request permissions contextually and explain feature impact when denied.</w:t>
            </w:r>
          </w:p>
        </w:tc>
      </w:tr>
    </w:tbl>
    <w:p>
      <w:pPr>
        <w:pStyle w:val="Heading1"/>
        <w:keepNext/>
      </w:pPr>
      <w:r>
        <w:t>3. Non-functional requirements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71717"/>
          </w:tcPr>
          <w:p>
            <w:r>
              <w:rPr>
                <w:b/>
                <w:color w:val="FFFFFF"/>
                <w:sz w:val="17"/>
              </w:rPr>
              <w:t>ID</w:t>
            </w:r>
          </w:p>
        </w:tc>
        <w:tc>
          <w:tcPr>
            <w:tcW w:type="dxa" w:w="3331"/>
            <w:shd w:fill="171717"/>
          </w:tcPr>
          <w:p>
            <w:r>
              <w:rPr>
                <w:b/>
                <w:color w:val="FFFFFF"/>
                <w:sz w:val="17"/>
              </w:rPr>
              <w:t>Quality</w:t>
            </w:r>
          </w:p>
        </w:tc>
        <w:tc>
          <w:tcPr>
            <w:tcW w:type="dxa" w:w="3331"/>
            <w:shd w:fill="171717"/>
          </w:tcPr>
          <w:p>
            <w:r>
              <w:rPr>
                <w:b/>
                <w:color w:val="FFFFFF"/>
                <w:sz w:val="17"/>
              </w:rPr>
              <w:t>Requirement</w:t>
            </w:r>
          </w:p>
        </w:tc>
      </w:tr>
      <w:tr>
        <w:tc>
          <w:tcPr>
            <w:tcW w:type="dxa" w:w="3331"/>
          </w:tcPr>
          <w:p>
            <w:pPr>
              <w:spacing w:after="0"/>
            </w:pPr>
            <w:r>
              <w:rPr>
                <w:sz w:val="17"/>
              </w:rPr>
              <w:t>NFR-001</w:t>
            </w:r>
          </w:p>
        </w:tc>
        <w:tc>
          <w:tcPr>
            <w:tcW w:type="dxa" w:w="3331"/>
          </w:tcPr>
          <w:p>
            <w:pPr>
              <w:spacing w:after="0"/>
            </w:pPr>
            <w:r>
              <w:rPr>
                <w:sz w:val="17"/>
              </w:rPr>
              <w:t>Security</w:t>
            </w:r>
          </w:p>
        </w:tc>
        <w:tc>
          <w:tcPr>
            <w:tcW w:type="dxa" w:w="3331"/>
          </w:tcPr>
          <w:p>
            <w:pPr>
              <w:spacing w:after="0"/>
            </w:pPr>
            <w:r>
              <w:rPr>
                <w:sz w:val="17"/>
              </w:rPr>
              <w:t>No transfer is marked complete before integrity verification.</w:t>
            </w:r>
          </w:p>
        </w:tc>
      </w:tr>
      <w:tr>
        <w:tc>
          <w:tcPr>
            <w:tcW w:type="dxa" w:w="3331"/>
            <w:shd w:fill="FAFAFA"/>
          </w:tcPr>
          <w:p>
            <w:pPr>
              <w:spacing w:after="0"/>
            </w:pPr>
            <w:r>
              <w:rPr>
                <w:sz w:val="17"/>
              </w:rPr>
              <w:t>NFR-002</w:t>
            </w:r>
          </w:p>
        </w:tc>
        <w:tc>
          <w:tcPr>
            <w:tcW w:type="dxa" w:w="3331"/>
            <w:shd w:fill="FAFAFA"/>
          </w:tcPr>
          <w:p>
            <w:pPr>
              <w:spacing w:after="0"/>
            </w:pPr>
            <w:r>
              <w:rPr>
                <w:sz w:val="17"/>
              </w:rPr>
              <w:t>Privacy</w:t>
            </w:r>
          </w:p>
        </w:tc>
        <w:tc>
          <w:tcPr>
            <w:tcW w:type="dxa" w:w="3331"/>
            <w:shd w:fill="FAFAFA"/>
          </w:tcPr>
          <w:p>
            <w:pPr>
              <w:spacing w:after="0"/>
            </w:pPr>
            <w:r>
              <w:rPr>
                <w:sz w:val="17"/>
              </w:rPr>
              <w:t>Nod-owned cloud infrastructure shall not be required for core v1 exchange.</w:t>
            </w:r>
          </w:p>
        </w:tc>
      </w:tr>
      <w:tr>
        <w:tc>
          <w:tcPr>
            <w:tcW w:type="dxa" w:w="3331"/>
          </w:tcPr>
          <w:p>
            <w:pPr>
              <w:spacing w:after="0"/>
            </w:pPr>
            <w:r>
              <w:rPr>
                <w:sz w:val="17"/>
              </w:rPr>
              <w:t>NFR-003</w:t>
            </w:r>
          </w:p>
        </w:tc>
        <w:tc>
          <w:tcPr>
            <w:tcW w:type="dxa" w:w="3331"/>
          </w:tcPr>
          <w:p>
            <w:pPr>
              <w:spacing w:after="0"/>
            </w:pPr>
            <w:r>
              <w:rPr>
                <w:sz w:val="17"/>
              </w:rPr>
              <w:t>Performance</w:t>
            </w:r>
          </w:p>
        </w:tc>
        <w:tc>
          <w:tcPr>
            <w:tcW w:type="dxa" w:w="3331"/>
          </w:tcPr>
          <w:p>
            <w:pPr>
              <w:spacing w:after="0"/>
            </w:pPr>
            <w:r>
              <w:rPr>
                <w:sz w:val="17"/>
              </w:rPr>
              <w:t>File I/O shall be streamed/bounded; whole large files shall not be loaded into memory.</w:t>
            </w:r>
          </w:p>
        </w:tc>
      </w:tr>
      <w:tr>
        <w:tc>
          <w:tcPr>
            <w:tcW w:type="dxa" w:w="3331"/>
            <w:shd w:fill="FAFAFA"/>
          </w:tcPr>
          <w:p>
            <w:pPr>
              <w:spacing w:after="0"/>
            </w:pPr>
            <w:r>
              <w:rPr>
                <w:sz w:val="17"/>
              </w:rPr>
              <w:t>NFR-004</w:t>
            </w:r>
          </w:p>
        </w:tc>
        <w:tc>
          <w:tcPr>
            <w:tcW w:type="dxa" w:w="3331"/>
            <w:shd w:fill="FAFAFA"/>
          </w:tcPr>
          <w:p>
            <w:pPr>
              <w:spacing w:after="0"/>
            </w:pPr>
            <w:r>
              <w:rPr>
                <w:sz w:val="17"/>
              </w:rPr>
              <w:t>Reliability</w:t>
            </w:r>
          </w:p>
        </w:tc>
        <w:tc>
          <w:tcPr>
            <w:tcW w:type="dxa" w:w="3331"/>
            <w:shd w:fill="FAFAFA"/>
          </w:tcPr>
          <w:p>
            <w:pPr>
              <w:spacing w:after="0"/>
            </w:pPr>
            <w:r>
              <w:rPr>
                <w:sz w:val="17"/>
              </w:rPr>
              <w:t>Process interruption and peer loss shall leave recoverable or cleanly discarded temporary state.</w:t>
            </w:r>
          </w:p>
        </w:tc>
      </w:tr>
      <w:tr>
        <w:tc>
          <w:tcPr>
            <w:tcW w:type="dxa" w:w="3331"/>
          </w:tcPr>
          <w:p>
            <w:pPr>
              <w:spacing w:after="0"/>
            </w:pPr>
            <w:r>
              <w:rPr>
                <w:sz w:val="17"/>
              </w:rPr>
              <w:t>NFR-005</w:t>
            </w:r>
          </w:p>
        </w:tc>
        <w:tc>
          <w:tcPr>
            <w:tcW w:type="dxa" w:w="3331"/>
          </w:tcPr>
          <w:p>
            <w:pPr>
              <w:spacing w:after="0"/>
            </w:pPr>
            <w:r>
              <w:rPr>
                <w:sz w:val="17"/>
              </w:rPr>
              <w:t>Compatibility</w:t>
            </w:r>
          </w:p>
        </w:tc>
        <w:tc>
          <w:tcPr>
            <w:tcW w:type="dxa" w:w="3331"/>
          </w:tcPr>
          <w:p>
            <w:pPr>
              <w:spacing w:after="0"/>
            </w:pPr>
            <w:r>
              <w:rPr>
                <w:sz w:val="17"/>
              </w:rPr>
              <w:t>Application shall install and run on API 26+ subject to hardware/Google Play Services capability checks.</w:t>
            </w:r>
          </w:p>
        </w:tc>
      </w:tr>
      <w:tr>
        <w:tc>
          <w:tcPr>
            <w:tcW w:type="dxa" w:w="3331"/>
            <w:shd w:fill="FAFAFA"/>
          </w:tcPr>
          <w:p>
            <w:pPr>
              <w:spacing w:after="0"/>
            </w:pPr>
            <w:r>
              <w:rPr>
                <w:sz w:val="17"/>
              </w:rPr>
              <w:t>NFR-006</w:t>
            </w:r>
          </w:p>
        </w:tc>
        <w:tc>
          <w:tcPr>
            <w:tcW w:type="dxa" w:w="3331"/>
            <w:shd w:fill="FAFAFA"/>
          </w:tcPr>
          <w:p>
            <w:pPr>
              <w:spacing w:after="0"/>
            </w:pPr>
            <w:r>
              <w:rPr>
                <w:sz w:val="17"/>
              </w:rPr>
              <w:t>Accessibility</w:t>
            </w:r>
          </w:p>
        </w:tc>
        <w:tc>
          <w:tcPr>
            <w:tcW w:type="dxa" w:w="3331"/>
            <w:shd w:fill="FAFAFA"/>
          </w:tcPr>
          <w:p>
            <w:pPr>
              <w:spacing w:after="0"/>
            </w:pPr>
            <w:r>
              <w:rPr>
                <w:sz w:val="17"/>
              </w:rPr>
              <w:t>Interactive targets, contrast, screen-reader labels and large-text behavior shall meet Android accessibility guidance.</w:t>
            </w:r>
          </w:p>
        </w:tc>
      </w:tr>
      <w:tr>
        <w:tc>
          <w:tcPr>
            <w:tcW w:type="dxa" w:w="3331"/>
          </w:tcPr>
          <w:p>
            <w:pPr>
              <w:spacing w:after="0"/>
            </w:pPr>
            <w:r>
              <w:rPr>
                <w:sz w:val="17"/>
              </w:rPr>
              <w:t>NFR-007</w:t>
            </w:r>
          </w:p>
        </w:tc>
        <w:tc>
          <w:tcPr>
            <w:tcW w:type="dxa" w:w="3331"/>
          </w:tcPr>
          <w:p>
            <w:pPr>
              <w:spacing w:after="0"/>
            </w:pPr>
            <w:r>
              <w:rPr>
                <w:sz w:val="17"/>
              </w:rPr>
              <w:t>Battery</w:t>
            </w:r>
          </w:p>
        </w:tc>
        <w:tc>
          <w:tcPr>
            <w:tcW w:type="dxa" w:w="3331"/>
          </w:tcPr>
          <w:p>
            <w:pPr>
              <w:spacing w:after="0"/>
            </w:pPr>
            <w:r>
              <w:rPr>
                <w:sz w:val="17"/>
              </w:rPr>
              <w:t>Always Ready shall not continuously advertise/scan merely because shake detection is enabled.</w:t>
            </w:r>
          </w:p>
        </w:tc>
      </w:tr>
      <w:tr>
        <w:tc>
          <w:tcPr>
            <w:tcW w:type="dxa" w:w="3331"/>
            <w:shd w:fill="FAFAFA"/>
          </w:tcPr>
          <w:p>
            <w:pPr>
              <w:spacing w:after="0"/>
            </w:pPr>
            <w:r>
              <w:rPr>
                <w:sz w:val="17"/>
              </w:rPr>
              <w:t>NFR-008</w:t>
            </w:r>
          </w:p>
        </w:tc>
        <w:tc>
          <w:tcPr>
            <w:tcW w:type="dxa" w:w="3331"/>
            <w:shd w:fill="FAFAFA"/>
          </w:tcPr>
          <w:p>
            <w:pPr>
              <w:spacing w:after="0"/>
            </w:pPr>
            <w:r>
              <w:rPr>
                <w:sz w:val="17"/>
              </w:rPr>
              <w:t>Maintainability</w:t>
            </w:r>
          </w:p>
        </w:tc>
        <w:tc>
          <w:tcPr>
            <w:tcW w:type="dxa" w:w="3331"/>
            <w:shd w:fill="FAFAFA"/>
          </w:tcPr>
          <w:p>
            <w:pPr>
              <w:spacing w:after="0"/>
            </w:pPr>
            <w:r>
              <w:rPr>
                <w:sz w:val="17"/>
              </w:rPr>
              <w:t>Transport implementation shall sit behind a stable NodTransport interface.</w:t>
            </w:r>
          </w:p>
        </w:tc>
      </w:tr>
      <w:tr>
        <w:tc>
          <w:tcPr>
            <w:tcW w:type="dxa" w:w="3331"/>
          </w:tcPr>
          <w:p>
            <w:pPr>
              <w:spacing w:after="0"/>
            </w:pPr>
            <w:r>
              <w:rPr>
                <w:sz w:val="17"/>
              </w:rPr>
              <w:t>NFR-009</w:t>
            </w:r>
          </w:p>
        </w:tc>
        <w:tc>
          <w:tcPr>
            <w:tcW w:type="dxa" w:w="3331"/>
          </w:tcPr>
          <w:p>
            <w:pPr>
              <w:spacing w:after="0"/>
            </w:pPr>
            <w:r>
              <w:rPr>
                <w:sz w:val="17"/>
              </w:rPr>
              <w:t>Observability</w:t>
            </w:r>
          </w:p>
        </w:tc>
        <w:tc>
          <w:tcPr>
            <w:tcW w:type="dxa" w:w="3331"/>
          </w:tcPr>
          <w:p>
            <w:pPr>
              <w:spacing w:after="0"/>
            </w:pPr>
            <w:r>
              <w:rPr>
                <w:sz w:val="17"/>
              </w:rPr>
              <w:t>Diagnostics shall avoid contact/file content and sensitive profile values.</w:t>
            </w:r>
          </w:p>
        </w:tc>
      </w:tr>
      <w:tr>
        <w:tc>
          <w:tcPr>
            <w:tcW w:type="dxa" w:w="3331"/>
            <w:shd w:fill="FAFAFA"/>
          </w:tcPr>
          <w:p>
            <w:pPr>
              <w:spacing w:after="0"/>
            </w:pPr>
            <w:r>
              <w:rPr>
                <w:sz w:val="17"/>
              </w:rPr>
              <w:t>NFR-010</w:t>
            </w:r>
          </w:p>
        </w:tc>
        <w:tc>
          <w:tcPr>
            <w:tcW w:type="dxa" w:w="3331"/>
            <w:shd w:fill="FAFAFA"/>
          </w:tcPr>
          <w:p>
            <w:pPr>
              <w:spacing w:after="0"/>
            </w:pPr>
            <w:r>
              <w:rPr>
                <w:sz w:val="17"/>
              </w:rPr>
              <w:t>Protocol</w:t>
            </w:r>
          </w:p>
        </w:tc>
        <w:tc>
          <w:tcPr>
            <w:tcW w:type="dxa" w:w="3331"/>
            <w:shd w:fill="FAFAFA"/>
          </w:tcPr>
          <w:p>
            <w:pPr>
              <w:spacing w:after="0"/>
            </w:pPr>
            <w:r>
              <w:rPr>
                <w:sz w:val="17"/>
              </w:rPr>
              <w:t>All control messages shall include protocol version and session/transfer identifiers.</w:t>
            </w:r>
          </w:p>
        </w:tc>
      </w:tr>
    </w:tbl>
    <w:p>
      <w:pPr>
        <w:pStyle w:val="Heading1"/>
        <w:keepNext/>
      </w:pPr>
      <w:r>
        <w:t>4. Acceptance scenarios</w:t>
      </w:r>
    </w:p>
    <w:p>
      <w:pPr>
        <w:pStyle w:val="ListBullet"/>
      </w:pPr>
      <w:r>
        <w:t>Both users see the same verification code and independently confirm it before connected state.</w:t>
      </w:r>
    </w:p>
    <w:p>
      <w:pPr>
        <w:pStyle w:val="ListBullet"/>
      </w:pPr>
      <w:r>
        <w:t>Receiver rejects a manifest; no content bytes are finalized and sender sees rejection.</w:t>
      </w:r>
    </w:p>
    <w:p>
      <w:pPr>
        <w:pStyle w:val="ListBullet"/>
      </w:pPr>
      <w:r>
        <w:t>Phone loses connection at 68%; UI enters interrupted/retry state and no corrupt completed file is shown.</w:t>
      </w:r>
    </w:p>
    <w:p>
      <w:pPr>
        <w:pStyle w:val="ListBullet"/>
      </w:pPr>
      <w:r>
        <w:t>Insufficient storage is detected before large transfer acceptance or finalization and is explained clearly.</w:t>
      </w:r>
    </w:p>
    <w:p>
      <w:pPr>
        <w:pStyle w:val="ListBullet"/>
      </w:pPr>
      <w:r>
        <w:t>User denies Contacts permission; file transfer remains usable.</w:t>
      </w:r>
    </w:p>
    <w:p>
      <w:pPr>
        <w:pStyle w:val="ListBullet"/>
      </w:pPr>
      <w:r>
        <w:t>User denies Camera; scanner explains limitation but Nod exchange remains usable.</w:t>
      </w:r>
    </w:p>
    <w:p>
      <w:pPr>
        <w:pStyle w:val="ListBullet"/>
      </w:pPr>
      <w:r>
        <w:t>Shake false-positive field test includes walking, vehicle travel, desk placement and normal phone handling.</w:t>
      </w:r>
    </w:p>
    <w:p>
      <w:pPr>
        <w:pStyle w:val="ListBullet"/>
      </w:pPr>
      <w:r>
        <w:t>Blocked peer cannot repeatedly produce foreground connection prompts during the block period.</w:t>
      </w:r>
    </w:p>
    <w:p>
      <w:pPr>
        <w:pStyle w:val="Heading1"/>
        <w:keepNext/>
      </w:pPr>
      <w:r>
        <w:t>5. Definition of done</w:t>
      </w:r>
    </w:p>
    <w:p>
      <w:r>
        <w:t>A feature is not done until product behavior, error behavior, accessibility, privacy implications, logs, tests and relevant policy declarations are updated together.</w:t>
      </w:r>
    </w:p>
    <w:p>
      <w:r>
        <w:br w:type="page"/>
      </w:r>
    </w:p>
    <w:p>
      <w:pPr>
        <w:jc w:val="center"/>
      </w:pPr>
      <w:r>
        <w:rPr>
          <w:b/>
          <w:color w:val="171717"/>
          <w:sz w:val="36"/>
        </w:rPr>
        <w:t>03 Nod System Architecture and Technology Specification</w:t>
      </w:r>
    </w:p>
    <w:tbl>
      <w:tblPr>
        <w:tblW w:type="auto" w:w="0"/>
        <w:tblLook w:firstColumn="1" w:firstRow="1" w:lastColumn="0" w:lastRow="0" w:noHBand="0" w:noVBand="1" w:val="04A0"/>
      </w:tblPr>
      <w:tblGrid>
        <w:gridCol w:w="9994"/>
      </w:tblGrid>
      <w:tr>
        <w:tc>
          <w:tcPr>
            <w:tcW w:type="dxa" w:w="9994"/>
            <w:shd w:fill="BFFF00"/>
          </w:tcPr>
          <w:p>
            <w:r/>
          </w:p>
        </w:tc>
      </w:tr>
    </w:tbl>
    <w:p>
      <w:pPr>
        <w:pStyle w:val="Heading1"/>
        <w:keepNext/>
      </w:pPr>
      <w:r>
        <w:t>1. Technology baseline</w:t>
      </w:r>
    </w:p>
    <w:tbl>
      <w:tblPr>
        <w:tblStyle w:val="TableGrid"/>
        <w:tblW w:type="auto" w:w="0"/>
        <w:jc w:val="center"/>
        <w:tblLook w:firstColumn="1" w:firstRow="1" w:lastColumn="0" w:lastRow="0" w:noHBand="0" w:noVBand="1" w:val="04A0"/>
      </w:tblPr>
      <w:tblGrid>
        <w:gridCol w:w="4997"/>
        <w:gridCol w:w="4997"/>
      </w:tblGrid>
      <w:tr>
        <w:tc>
          <w:tcPr>
            <w:tcW w:type="dxa" w:w="4997"/>
            <w:shd w:fill="171717"/>
          </w:tcPr>
          <w:p>
            <w:r>
              <w:rPr>
                <w:b/>
                <w:color w:val="FFFFFF"/>
                <w:sz w:val="17"/>
              </w:rPr>
              <w:t>Layer</w:t>
            </w:r>
          </w:p>
        </w:tc>
        <w:tc>
          <w:tcPr>
            <w:tcW w:type="dxa" w:w="4997"/>
            <w:shd w:fill="171717"/>
          </w:tcPr>
          <w:p>
            <w:r>
              <w:rPr>
                <w:b/>
                <w:color w:val="FFFFFF"/>
                <w:sz w:val="17"/>
              </w:rPr>
              <w:t>Selected technology</w:t>
            </w:r>
          </w:p>
        </w:tc>
      </w:tr>
      <w:tr>
        <w:tc>
          <w:tcPr>
            <w:tcW w:type="dxa" w:w="4997"/>
          </w:tcPr>
          <w:p>
            <w:pPr>
              <w:spacing w:after="0"/>
            </w:pPr>
            <w:r>
              <w:rPr>
                <w:sz w:val="17"/>
              </w:rPr>
              <w:t>Language</w:t>
            </w:r>
          </w:p>
        </w:tc>
        <w:tc>
          <w:tcPr>
            <w:tcW w:type="dxa" w:w="4997"/>
          </w:tcPr>
          <w:p>
            <w:pPr>
              <w:spacing w:after="0"/>
            </w:pPr>
            <w:r>
              <w:rPr>
                <w:sz w:val="17"/>
              </w:rPr>
              <w:t>Kotlin</w:t>
            </w:r>
          </w:p>
        </w:tc>
      </w:tr>
      <w:tr>
        <w:tc>
          <w:tcPr>
            <w:tcW w:type="dxa" w:w="4997"/>
            <w:shd w:fill="FAFAFA"/>
          </w:tcPr>
          <w:p>
            <w:pPr>
              <w:spacing w:after="0"/>
            </w:pPr>
            <w:r>
              <w:rPr>
                <w:sz w:val="17"/>
              </w:rPr>
              <w:t>UI</w:t>
            </w:r>
          </w:p>
        </w:tc>
        <w:tc>
          <w:tcPr>
            <w:tcW w:type="dxa" w:w="4997"/>
            <w:shd w:fill="FAFAFA"/>
          </w:tcPr>
          <w:p>
            <w:pPr>
              <w:spacing w:after="0"/>
            </w:pPr>
            <w:r>
              <w:rPr>
                <w:sz w:val="17"/>
              </w:rPr>
              <w:t>Jetpack Compose + Material 3 foundation</w:t>
            </w:r>
          </w:p>
        </w:tc>
      </w:tr>
      <w:tr>
        <w:tc>
          <w:tcPr>
            <w:tcW w:type="dxa" w:w="4997"/>
          </w:tcPr>
          <w:p>
            <w:pPr>
              <w:spacing w:after="0"/>
            </w:pPr>
            <w:r>
              <w:rPr>
                <w:sz w:val="17"/>
              </w:rPr>
              <w:t>State</w:t>
            </w:r>
          </w:p>
        </w:tc>
        <w:tc>
          <w:tcPr>
            <w:tcW w:type="dxa" w:w="4997"/>
          </w:tcPr>
          <w:p>
            <w:pPr>
              <w:spacing w:after="0"/>
            </w:pPr>
            <w:r>
              <w:rPr>
                <w:sz w:val="17"/>
              </w:rPr>
              <w:t>ViewModel + StateFlow / unidirectional data flow</w:t>
            </w:r>
          </w:p>
        </w:tc>
      </w:tr>
      <w:tr>
        <w:tc>
          <w:tcPr>
            <w:tcW w:type="dxa" w:w="4997"/>
            <w:shd w:fill="FAFAFA"/>
          </w:tcPr>
          <w:p>
            <w:pPr>
              <w:spacing w:after="0"/>
            </w:pPr>
            <w:r>
              <w:rPr>
                <w:sz w:val="17"/>
              </w:rPr>
              <w:t>Concurrency</w:t>
            </w:r>
          </w:p>
        </w:tc>
        <w:tc>
          <w:tcPr>
            <w:tcW w:type="dxa" w:w="4997"/>
            <w:shd w:fill="FAFAFA"/>
          </w:tcPr>
          <w:p>
            <w:pPr>
              <w:spacing w:after="0"/>
            </w:pPr>
            <w:r>
              <w:rPr>
                <w:sz w:val="17"/>
              </w:rPr>
              <w:t>Kotlin Coroutines + Flow</w:t>
            </w:r>
          </w:p>
        </w:tc>
      </w:tr>
      <w:tr>
        <w:tc>
          <w:tcPr>
            <w:tcW w:type="dxa" w:w="4997"/>
          </w:tcPr>
          <w:p>
            <w:pPr>
              <w:spacing w:after="0"/>
            </w:pPr>
            <w:r>
              <w:rPr>
                <w:sz w:val="17"/>
              </w:rPr>
              <w:t>DI</w:t>
            </w:r>
          </w:p>
        </w:tc>
        <w:tc>
          <w:tcPr>
            <w:tcW w:type="dxa" w:w="4997"/>
          </w:tcPr>
          <w:p>
            <w:pPr>
              <w:spacing w:after="0"/>
            </w:pPr>
            <w:r>
              <w:rPr>
                <w:sz w:val="17"/>
              </w:rPr>
              <w:t>Hilt + KSP</w:t>
            </w:r>
          </w:p>
        </w:tc>
      </w:tr>
      <w:tr>
        <w:tc>
          <w:tcPr>
            <w:tcW w:type="dxa" w:w="4997"/>
            <w:shd w:fill="FAFAFA"/>
          </w:tcPr>
          <w:p>
            <w:pPr>
              <w:spacing w:after="0"/>
            </w:pPr>
            <w:r>
              <w:rPr>
                <w:sz w:val="17"/>
              </w:rPr>
              <w:t>Database</w:t>
            </w:r>
          </w:p>
        </w:tc>
        <w:tc>
          <w:tcPr>
            <w:tcW w:type="dxa" w:w="4997"/>
            <w:shd w:fill="FAFAFA"/>
          </w:tcPr>
          <w:p>
            <w:pPr>
              <w:spacing w:after="0"/>
            </w:pPr>
            <w:r>
              <w:rPr>
                <w:sz w:val="17"/>
              </w:rPr>
              <w:t>Room</w:t>
            </w:r>
          </w:p>
        </w:tc>
      </w:tr>
      <w:tr>
        <w:tc>
          <w:tcPr>
            <w:tcW w:type="dxa" w:w="4997"/>
          </w:tcPr>
          <w:p>
            <w:pPr>
              <w:spacing w:after="0"/>
            </w:pPr>
            <w:r>
              <w:rPr>
                <w:sz w:val="17"/>
              </w:rPr>
              <w:t>Preferences</w:t>
            </w:r>
          </w:p>
        </w:tc>
        <w:tc>
          <w:tcPr>
            <w:tcW w:type="dxa" w:w="4997"/>
          </w:tcPr>
          <w:p>
            <w:pPr>
              <w:spacing w:after="0"/>
            </w:pPr>
            <w:r>
              <w:rPr>
                <w:sz w:val="17"/>
              </w:rPr>
              <w:t>Proto DataStore</w:t>
            </w:r>
          </w:p>
        </w:tc>
      </w:tr>
      <w:tr>
        <w:tc>
          <w:tcPr>
            <w:tcW w:type="dxa" w:w="4997"/>
            <w:shd w:fill="FAFAFA"/>
          </w:tcPr>
          <w:p>
            <w:pPr>
              <w:spacing w:after="0"/>
            </w:pPr>
            <w:r>
              <w:rPr>
                <w:sz w:val="17"/>
              </w:rPr>
              <w:t>Control protocol</w:t>
            </w:r>
          </w:p>
        </w:tc>
        <w:tc>
          <w:tcPr>
            <w:tcW w:type="dxa" w:w="4997"/>
            <w:shd w:fill="FAFAFA"/>
          </w:tcPr>
          <w:p>
            <w:pPr>
              <w:spacing w:after="0"/>
            </w:pPr>
            <w:r>
              <w:rPr>
                <w:sz w:val="17"/>
              </w:rPr>
              <w:t>Protocol Buffers</w:t>
            </w:r>
          </w:p>
        </w:tc>
      </w:tr>
      <w:tr>
        <w:tc>
          <w:tcPr>
            <w:tcW w:type="dxa" w:w="4997"/>
          </w:tcPr>
          <w:p>
            <w:pPr>
              <w:spacing w:after="0"/>
            </w:pPr>
            <w:r>
              <w:rPr>
                <w:sz w:val="17"/>
              </w:rPr>
              <w:t>Primary transport</w:t>
            </w:r>
          </w:p>
        </w:tc>
        <w:tc>
          <w:tcPr>
            <w:tcW w:type="dxa" w:w="4997"/>
          </w:tcPr>
          <w:p>
            <w:pPr>
              <w:spacing w:after="0"/>
            </w:pPr>
            <w:r>
              <w:rPr>
                <w:sz w:val="17"/>
              </w:rPr>
              <w:t>Google Nearby Connections - P2P_POINT_TO_POINT</w:t>
            </w:r>
          </w:p>
        </w:tc>
      </w:tr>
      <w:tr>
        <w:tc>
          <w:tcPr>
            <w:tcW w:type="dxa" w:w="4997"/>
            <w:shd w:fill="FAFAFA"/>
          </w:tcPr>
          <w:p>
            <w:pPr>
              <w:spacing w:after="0"/>
            </w:pPr>
            <w:r>
              <w:rPr>
                <w:sz w:val="17"/>
              </w:rPr>
              <w:t>Future transport</w:t>
            </w:r>
          </w:p>
        </w:tc>
        <w:tc>
          <w:tcPr>
            <w:tcW w:type="dxa" w:w="4997"/>
            <w:shd w:fill="FAFAFA"/>
          </w:tcPr>
          <w:p>
            <w:pPr>
              <w:spacing w:after="0"/>
            </w:pPr>
            <w:r>
              <w:rPr>
                <w:sz w:val="17"/>
              </w:rPr>
              <w:t>Wi-Fi Direct adapter behind NodTransport</w:t>
            </w:r>
          </w:p>
        </w:tc>
      </w:tr>
      <w:tr>
        <w:tc>
          <w:tcPr>
            <w:tcW w:type="dxa" w:w="4997"/>
          </w:tcPr>
          <w:p>
            <w:pPr>
              <w:spacing w:after="0"/>
            </w:pPr>
            <w:r>
              <w:rPr>
                <w:sz w:val="17"/>
              </w:rPr>
              <w:t>Security</w:t>
            </w:r>
          </w:p>
        </w:tc>
        <w:tc>
          <w:tcPr>
            <w:tcW w:type="dxa" w:w="4997"/>
          </w:tcPr>
          <w:p>
            <w:pPr>
              <w:spacing w:after="0"/>
            </w:pPr>
            <w:r>
              <w:rPr>
                <w:sz w:val="17"/>
              </w:rPr>
              <w:t>Android Keystore + AES-GCM; SHA-256 integrity</w:t>
            </w:r>
          </w:p>
        </w:tc>
      </w:tr>
      <w:tr>
        <w:tc>
          <w:tcPr>
            <w:tcW w:type="dxa" w:w="4997"/>
            <w:shd w:fill="FAFAFA"/>
          </w:tcPr>
          <w:p>
            <w:pPr>
              <w:spacing w:after="0"/>
            </w:pPr>
            <w:r>
              <w:rPr>
                <w:sz w:val="17"/>
              </w:rPr>
              <w:t>Camera/OCR</w:t>
            </w:r>
          </w:p>
        </w:tc>
        <w:tc>
          <w:tcPr>
            <w:tcW w:type="dxa" w:w="4997"/>
            <w:shd w:fill="FAFAFA"/>
          </w:tcPr>
          <w:p>
            <w:pPr>
              <w:spacing w:after="0"/>
            </w:pPr>
            <w:r>
              <w:rPr>
                <w:sz w:val="17"/>
              </w:rPr>
              <w:t>CameraX + bundled ML Kit Text Recognition + libphonenumber</w:t>
            </w:r>
          </w:p>
        </w:tc>
      </w:tr>
      <w:tr>
        <w:tc>
          <w:tcPr>
            <w:tcW w:type="dxa" w:w="4997"/>
          </w:tcPr>
          <w:p>
            <w:pPr>
              <w:spacing w:after="0"/>
            </w:pPr>
            <w:r>
              <w:rPr>
                <w:sz w:val="17"/>
              </w:rPr>
              <w:t>Background</w:t>
            </w:r>
          </w:p>
        </w:tc>
        <w:tc>
          <w:tcPr>
            <w:tcW w:type="dxa" w:w="4997"/>
          </w:tcPr>
          <w:p>
            <w:pPr>
              <w:spacing w:after="0"/>
            </w:pPr>
            <w:r>
              <w:rPr>
                <w:sz w:val="17"/>
              </w:rPr>
              <w:t>Foreground Service + notification</w:t>
            </w:r>
          </w:p>
        </w:tc>
      </w:tr>
      <w:tr>
        <w:tc>
          <w:tcPr>
            <w:tcW w:type="dxa" w:w="4997"/>
            <w:shd w:fill="FAFAFA"/>
          </w:tcPr>
          <w:p>
            <w:pPr>
              <w:spacing w:after="0"/>
            </w:pPr>
            <w:r>
              <w:rPr>
                <w:sz w:val="17"/>
              </w:rPr>
              <w:t>Quick launch</w:t>
            </w:r>
          </w:p>
        </w:tc>
        <w:tc>
          <w:tcPr>
            <w:tcW w:type="dxa" w:w="4997"/>
            <w:shd w:fill="FAFAFA"/>
          </w:tcPr>
          <w:p>
            <w:pPr>
              <w:spacing w:after="0"/>
            </w:pPr>
            <w:r>
              <w:rPr>
                <w:sz w:val="17"/>
              </w:rPr>
              <w:t>TileService + accelerometer SensorManager</w:t>
            </w:r>
          </w:p>
        </w:tc>
      </w:tr>
      <w:tr>
        <w:tc>
          <w:tcPr>
            <w:tcW w:type="dxa" w:w="4997"/>
          </w:tcPr>
          <w:p>
            <w:pPr>
              <w:spacing w:after="0"/>
            </w:pPr>
            <w:r>
              <w:rPr>
                <w:sz w:val="17"/>
              </w:rPr>
              <w:t>Storage</w:t>
            </w:r>
          </w:p>
        </w:tc>
        <w:tc>
          <w:tcPr>
            <w:tcW w:type="dxa" w:w="4997"/>
          </w:tcPr>
          <w:p>
            <w:pPr>
              <w:spacing w:after="0"/>
            </w:pPr>
            <w:r>
              <w:rPr>
                <w:sz w:val="17"/>
              </w:rPr>
              <w:t>MediaStore + Storage Access Framework + private temp storage</w:t>
            </w:r>
          </w:p>
        </w:tc>
      </w:tr>
      <w:tr>
        <w:tc>
          <w:tcPr>
            <w:tcW w:type="dxa" w:w="4997"/>
            <w:shd w:fill="FAFAFA"/>
          </w:tcPr>
          <w:p>
            <w:pPr>
              <w:spacing w:after="0"/>
            </w:pPr>
            <w:r>
              <w:rPr>
                <w:sz w:val="17"/>
              </w:rPr>
              <w:t>Testing</w:t>
            </w:r>
          </w:p>
        </w:tc>
        <w:tc>
          <w:tcPr>
            <w:tcW w:type="dxa" w:w="4997"/>
            <w:shd w:fill="FAFAFA"/>
          </w:tcPr>
          <w:p>
            <w:pPr>
              <w:spacing w:after="0"/>
            </w:pPr>
            <w:r>
              <w:rPr>
                <w:sz w:val="17"/>
              </w:rPr>
              <w:t>JUnit, coroutine test, Compose tests, Robolectric, macrobenchmark and physical-device matrix</w:t>
            </w:r>
          </w:p>
        </w:tc>
      </w:tr>
    </w:tbl>
    <w:p>
      <w:pPr>
        <w:pStyle w:val="Heading1"/>
        <w:keepNext/>
      </w:pPr>
      <w:r>
        <w:t>2. Layered architecture</w:t>
      </w:r>
    </w:p>
    <w:p>
      <w:r>
        <w:t>Compose UI -&gt; ViewModels -&gt; domain use cases -&gt; repositories -&gt; platform/transport adapters -&gt; Android OS and local storage. UI modules must not call Nearby Connections, Room or Android providers directly.</w:t>
      </w:r>
    </w:p>
    <w:p>
      <w:pPr>
        <w:pStyle w:val="Heading1"/>
        <w:keepNext/>
      </w:pPr>
      <w:r>
        <w:t>3. Dependency rules</w:t>
      </w:r>
    </w:p>
    <w:p>
      <w:pPr>
        <w:pStyle w:val="ListBullet"/>
      </w:pPr>
      <w:r>
        <w:t>feature modules depend on domain abstractions and design system.</w:t>
      </w:r>
    </w:p>
    <w:p>
      <w:pPr>
        <w:pStyle w:val="ListBullet"/>
      </w:pPr>
      <w:r>
        <w:t>domain modules contain no Android UI or SDK-specific transport types.</w:t>
      </w:r>
    </w:p>
    <w:p>
      <w:pPr>
        <w:pStyle w:val="ListBullet"/>
      </w:pPr>
      <w:r>
        <w:t>transport:api defines NodTransport and transport-neutral events.</w:t>
      </w:r>
    </w:p>
    <w:p>
      <w:pPr>
        <w:pStyle w:val="ListBullet"/>
      </w:pPr>
      <w:r>
        <w:t>transport:nearby implements transport:api using ConnectionsClient.</w:t>
      </w:r>
    </w:p>
    <w:p>
      <w:pPr>
        <w:pStyle w:val="ListBullet"/>
      </w:pPr>
      <w:r>
        <w:t>data modules implement repositories and are injected through interfaces.</w:t>
      </w:r>
    </w:p>
    <w:p>
      <w:pPr>
        <w:pStyle w:val="ListBullet"/>
      </w:pPr>
      <w:r>
        <w:t>platform modules wrap contacts, files, sensors, permissions, notifications and Quick Settings APIs.</w:t>
      </w:r>
    </w:p>
    <w:p>
      <w:pPr>
        <w:pStyle w:val="Heading1"/>
        <w:keepNext/>
      </w:pPr>
      <w:r>
        <w:t>4. Suggested project structure</w:t>
      </w:r>
    </w:p>
    <w:p>
      <w:r>
        <w:t>app/; core/common, design-system, model, protocol, security, testing; data/profile, transfer, history, settings; domain/discovery, session, transfer, profile, scanner; transport/api, nearby, wifi-direct; platform/contacts, files, permissions, sensors, notifications, quick-settings; feature/onboarding, home, nearby, connection, send, receive, scanner, history, profile, settings.</w:t>
      </w:r>
    </w:p>
    <w:p>
      <w:pPr>
        <w:pStyle w:val="Heading1"/>
        <w:keepNext/>
      </w:pPr>
      <w:r>
        <w:t>5. Primary domain interfaces</w:t>
      </w:r>
    </w:p>
    <w:p>
      <w:pPr>
        <w:pStyle w:val="ListBullet"/>
      </w:pPr>
      <w:r>
        <w:t>NodTransport: advertise, discover, connect, send control bytes, send file payloads, disconnect, observe events.</w:t>
      </w:r>
    </w:p>
    <w:p>
      <w:pPr>
        <w:pStyle w:val="ListBullet"/>
      </w:pPr>
      <w:r>
        <w:t>SessionManager: peer lifecycle, verification, trust state, protocol negotiation, timeout and disconnect.</w:t>
      </w:r>
    </w:p>
    <w:p>
      <w:pPr>
        <w:pStyle w:val="ListBullet"/>
      </w:pPr>
      <w:r>
        <w:t>TransferManager: manifest, acceptance, capacity checks, payload mapping, progress, hashing, cancellation and finalization.</w:t>
      </w:r>
    </w:p>
    <w:p>
      <w:pPr>
        <w:pStyle w:val="ListBullet"/>
      </w:pPr>
      <w:r>
        <w:t>ProfileRepository: encrypted Nod Profile and Share Profiles.</w:t>
      </w:r>
    </w:p>
    <w:p>
      <w:pPr>
        <w:pStyle w:val="ListBullet"/>
      </w:pPr>
      <w:r>
        <w:t>HistoryRepository: minimal completed/failed transfer metadata.</w:t>
      </w:r>
    </w:p>
    <w:p>
      <w:pPr>
        <w:pStyle w:val="ListBullet"/>
      </w:pPr>
      <w:r>
        <w:t>QuickNodManager: orchestrates shake/tile/manual launch into the same temporary discovery session.</w:t>
      </w:r>
    </w:p>
    <w:p>
      <w:pPr>
        <w:pStyle w:val="Heading1"/>
        <w:keepNext/>
      </w:pPr>
      <w:r>
        <w:t>6. Threading and concurrency</w:t>
      </w:r>
    </w:p>
    <w:p>
      <w:pPr>
        <w:pStyle w:val="ListBullet"/>
      </w:pPr>
      <w:r>
        <w:t>All transport callbacks are converted to structured Flows at adapter boundaries.</w:t>
      </w:r>
    </w:p>
    <w:p>
      <w:pPr>
        <w:pStyle w:val="ListBullet"/>
      </w:pPr>
      <w:r>
        <w:t>Disk I/O and hashing run on bounded background dispatchers.</w:t>
      </w:r>
    </w:p>
    <w:p>
      <w:pPr>
        <w:pStyle w:val="ListBullet"/>
      </w:pPr>
      <w:r>
        <w:t>UI collects immutable state; it never owns transfer sockets/clients.</w:t>
      </w:r>
    </w:p>
    <w:p>
      <w:pPr>
        <w:pStyle w:val="ListBullet"/>
      </w:pPr>
      <w:r>
        <w:t>Cancellation propagates from domain jobs to payload operations and cleanup.</w:t>
      </w:r>
    </w:p>
    <w:p>
      <w:pPr>
        <w:pStyle w:val="ListBullet"/>
      </w:pPr>
      <w:r>
        <w:t>Backpressure must prevent progress/event floods from overwhelming the main thread.</w:t>
      </w:r>
    </w:p>
    <w:p>
      <w:pPr>
        <w:pStyle w:val="Heading1"/>
        <w:keepNext/>
      </w:pPr>
      <w:r>
        <w:t>7. Build configuration</w:t>
      </w:r>
    </w:p>
    <w:p>
      <w:pPr>
        <w:pStyle w:val="ListBullet"/>
      </w:pPr>
      <w:r>
        <w:t>minSdk: 26.</w:t>
      </w:r>
    </w:p>
    <w:p>
      <w:pPr>
        <w:pStyle w:val="ListBullet"/>
      </w:pPr>
      <w:r>
        <w:t>targetSdk: 36 for new Google Play release after 31 August 2026.</w:t>
      </w:r>
    </w:p>
    <w:p>
      <w:pPr>
        <w:pStyle w:val="ListBullet"/>
      </w:pPr>
      <w:r>
        <w:t>compileSdk: current stable compatible with target 36 at release.</w:t>
      </w:r>
    </w:p>
    <w:p>
      <w:pPr>
        <w:pStyle w:val="ListBullet"/>
      </w:pPr>
      <w:r>
        <w:t>JDK 17 toolchain.</w:t>
      </w:r>
    </w:p>
    <w:p>
      <w:pPr>
        <w:pStyle w:val="ListBullet"/>
      </w:pPr>
      <w:r>
        <w:t>Release builds shrink/optimize with R8 and keep rules tested for Protobuf/ML Kit dependencies.</w:t>
      </w:r>
    </w:p>
    <w:p>
      <w:pPr>
        <w:pStyle w:val="ListBullet"/>
      </w:pPr>
      <w:r>
        <w:t>Release signing secrets never committed to source control.</w:t>
      </w:r>
    </w:p>
    <w:p>
      <w:pPr>
        <w:pStyle w:val="Heading1"/>
        <w:keepNext/>
      </w:pPr>
      <w:r>
        <w:t>8. Architecture decisions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71717"/>
          </w:tcPr>
          <w:p>
            <w:r>
              <w:rPr>
                <w:b/>
                <w:color w:val="FFFFFF"/>
                <w:sz w:val="17"/>
              </w:rPr>
              <w:t>ADR</w:t>
            </w:r>
          </w:p>
        </w:tc>
        <w:tc>
          <w:tcPr>
            <w:tcW w:type="dxa" w:w="3331"/>
            <w:shd w:fill="171717"/>
          </w:tcPr>
          <w:p>
            <w:r>
              <w:rPr>
                <w:b/>
                <w:color w:val="FFFFFF"/>
                <w:sz w:val="17"/>
              </w:rPr>
              <w:t>Decision</w:t>
            </w:r>
          </w:p>
        </w:tc>
        <w:tc>
          <w:tcPr>
            <w:tcW w:type="dxa" w:w="3331"/>
            <w:shd w:fill="171717"/>
          </w:tcPr>
          <w:p>
            <w:r>
              <w:rPr>
                <w:b/>
                <w:color w:val="FFFFFF"/>
                <w:sz w:val="17"/>
              </w:rPr>
              <w:t>Reason</w:t>
            </w:r>
          </w:p>
        </w:tc>
      </w:tr>
      <w:tr>
        <w:tc>
          <w:tcPr>
            <w:tcW w:type="dxa" w:w="3331"/>
          </w:tcPr>
          <w:p>
            <w:pPr>
              <w:spacing w:after="0"/>
            </w:pPr>
            <w:r>
              <w:rPr>
                <w:sz w:val="17"/>
              </w:rPr>
              <w:t>ADR-001</w:t>
            </w:r>
          </w:p>
        </w:tc>
        <w:tc>
          <w:tcPr>
            <w:tcW w:type="dxa" w:w="3331"/>
          </w:tcPr>
          <w:p>
            <w:pPr>
              <w:spacing w:after="0"/>
            </w:pPr>
            <w:r>
              <w:rPr>
                <w:sz w:val="17"/>
              </w:rPr>
              <w:t>Native Android/Kotlin</w:t>
            </w:r>
          </w:p>
        </w:tc>
        <w:tc>
          <w:tcPr>
            <w:tcW w:type="dxa" w:w="3331"/>
          </w:tcPr>
          <w:p>
            <w:pPr>
              <w:spacing w:after="0"/>
            </w:pPr>
            <w:r>
              <w:rPr>
                <w:sz w:val="17"/>
              </w:rPr>
              <w:t>Nod is deeply coupled to Android wireless, sensors, background, storage and permission models.</w:t>
            </w:r>
          </w:p>
        </w:tc>
      </w:tr>
      <w:tr>
        <w:tc>
          <w:tcPr>
            <w:tcW w:type="dxa" w:w="3331"/>
            <w:shd w:fill="FAFAFA"/>
          </w:tcPr>
          <w:p>
            <w:pPr>
              <w:spacing w:after="0"/>
            </w:pPr>
            <w:r>
              <w:rPr>
                <w:sz w:val="17"/>
              </w:rPr>
              <w:t>ADR-002</w:t>
            </w:r>
          </w:p>
        </w:tc>
        <w:tc>
          <w:tcPr>
            <w:tcW w:type="dxa" w:w="3331"/>
            <w:shd w:fill="FAFAFA"/>
          </w:tcPr>
          <w:p>
            <w:pPr>
              <w:spacing w:after="0"/>
            </w:pPr>
            <w:r>
              <w:rPr>
                <w:sz w:val="17"/>
              </w:rPr>
              <w:t>Local-first identity</w:t>
            </w:r>
          </w:p>
        </w:tc>
        <w:tc>
          <w:tcPr>
            <w:tcW w:type="dxa" w:w="3331"/>
            <w:shd w:fill="FAFAFA"/>
          </w:tcPr>
          <w:p>
            <w:pPr>
              <w:spacing w:after="0"/>
            </w:pPr>
            <w:r>
              <w:rPr>
                <w:sz w:val="17"/>
              </w:rPr>
              <w:t>Avoid mandatory account/backend and minimize privacy surface.</w:t>
            </w:r>
          </w:p>
        </w:tc>
      </w:tr>
      <w:tr>
        <w:tc>
          <w:tcPr>
            <w:tcW w:type="dxa" w:w="3331"/>
          </w:tcPr>
          <w:p>
            <w:pPr>
              <w:spacing w:after="0"/>
            </w:pPr>
            <w:r>
              <w:rPr>
                <w:sz w:val="17"/>
              </w:rPr>
              <w:t>ADR-003</w:t>
            </w:r>
          </w:p>
        </w:tc>
        <w:tc>
          <w:tcPr>
            <w:tcW w:type="dxa" w:w="3331"/>
          </w:tcPr>
          <w:p>
            <w:pPr>
              <w:spacing w:after="0"/>
            </w:pPr>
            <w:r>
              <w:rPr>
                <w:sz w:val="17"/>
              </w:rPr>
              <w:t>Transport abstraction</w:t>
            </w:r>
          </w:p>
        </w:tc>
        <w:tc>
          <w:tcPr>
            <w:tcW w:type="dxa" w:w="3331"/>
          </w:tcPr>
          <w:p>
            <w:pPr>
              <w:spacing w:after="0"/>
            </w:pPr>
            <w:r>
              <w:rPr>
                <w:sz w:val="17"/>
              </w:rPr>
              <w:t>Protect product architecture from GMS-only lock-in.</w:t>
            </w:r>
          </w:p>
        </w:tc>
      </w:tr>
      <w:tr>
        <w:tc>
          <w:tcPr>
            <w:tcW w:type="dxa" w:w="3331"/>
            <w:shd w:fill="FAFAFA"/>
          </w:tcPr>
          <w:p>
            <w:pPr>
              <w:spacing w:after="0"/>
            </w:pPr>
            <w:r>
              <w:rPr>
                <w:sz w:val="17"/>
              </w:rPr>
              <w:t>ADR-004</w:t>
            </w:r>
          </w:p>
        </w:tc>
        <w:tc>
          <w:tcPr>
            <w:tcW w:type="dxa" w:w="3331"/>
            <w:shd w:fill="FAFAFA"/>
          </w:tcPr>
          <w:p>
            <w:pPr>
              <w:spacing w:after="0"/>
            </w:pPr>
            <w:r>
              <w:rPr>
                <w:sz w:val="17"/>
              </w:rPr>
              <w:t>Protobuf control plane</w:t>
            </w:r>
          </w:p>
        </w:tc>
        <w:tc>
          <w:tcPr>
            <w:tcW w:type="dxa" w:w="3331"/>
            <w:shd w:fill="FAFAFA"/>
          </w:tcPr>
          <w:p>
            <w:pPr>
              <w:spacing w:after="0"/>
            </w:pPr>
            <w:r>
              <w:rPr>
                <w:sz w:val="17"/>
              </w:rPr>
              <w:t>Strong schema/versioning for device interoperability.</w:t>
            </w:r>
          </w:p>
        </w:tc>
      </w:tr>
      <w:tr>
        <w:tc>
          <w:tcPr>
            <w:tcW w:type="dxa" w:w="3331"/>
          </w:tcPr>
          <w:p>
            <w:pPr>
              <w:spacing w:after="0"/>
            </w:pPr>
            <w:r>
              <w:rPr>
                <w:sz w:val="17"/>
              </w:rPr>
              <w:t>ADR-005</w:t>
            </w:r>
          </w:p>
        </w:tc>
        <w:tc>
          <w:tcPr>
            <w:tcW w:type="dxa" w:w="3331"/>
          </w:tcPr>
          <w:p>
            <w:pPr>
              <w:spacing w:after="0"/>
            </w:pPr>
            <w:r>
              <w:rPr>
                <w:sz w:val="17"/>
              </w:rPr>
              <w:t>Separate control/data plane</w:t>
            </w:r>
          </w:p>
        </w:tc>
        <w:tc>
          <w:tcPr>
            <w:tcW w:type="dxa" w:w="3331"/>
          </w:tcPr>
          <w:p>
            <w:pPr>
              <w:spacing w:after="0"/>
            </w:pPr>
            <w:r>
              <w:rPr>
                <w:sz w:val="17"/>
              </w:rPr>
              <w:t>Small commands remain independent from large file payload mechanics.</w:t>
            </w:r>
          </w:p>
        </w:tc>
      </w:tr>
      <w:tr>
        <w:tc>
          <w:tcPr>
            <w:tcW w:type="dxa" w:w="3331"/>
            <w:shd w:fill="FAFAFA"/>
          </w:tcPr>
          <w:p>
            <w:pPr>
              <w:spacing w:after="0"/>
            </w:pPr>
            <w:r>
              <w:rPr>
                <w:sz w:val="17"/>
              </w:rPr>
              <w:t>ADR-006</w:t>
            </w:r>
          </w:p>
        </w:tc>
        <w:tc>
          <w:tcPr>
            <w:tcW w:type="dxa" w:w="3331"/>
            <w:shd w:fill="FAFAFA"/>
          </w:tcPr>
          <w:p>
            <w:pPr>
              <w:spacing w:after="0"/>
            </w:pPr>
            <w:r>
              <w:rPr>
                <w:sz w:val="17"/>
              </w:rPr>
              <w:t>Contextual permissions</w:t>
            </w:r>
          </w:p>
        </w:tc>
        <w:tc>
          <w:tcPr>
            <w:tcW w:type="dxa" w:w="3331"/>
            <w:shd w:fill="FAFAFA"/>
          </w:tcPr>
          <w:p>
            <w:pPr>
              <w:spacing w:after="0"/>
            </w:pPr>
            <w:r>
              <w:rPr>
                <w:sz w:val="17"/>
              </w:rPr>
              <w:t>Request only when feature requires capability.</w:t>
            </w:r>
          </w:p>
        </w:tc>
      </w:tr>
    </w:tbl>
    <w:p>
      <w:pPr>
        <w:pStyle w:val="Heading1"/>
        <w:keepNext/>
      </w:pPr>
      <w:r>
        <w:t>Authoritative references</w:t>
      </w:r>
    </w:p>
    <w:p>
      <w:r>
        <w:t>These links are included for implementation and legal review. Requirements can change; verify them again immediately before release.</w:t>
      </w:r>
    </w:p>
    <w:p>
      <w:pPr>
        <w:pStyle w:val="ListBullet"/>
      </w:pPr>
      <w:r>
        <w:rPr>
          <w:b/>
        </w:rPr>
        <w:t xml:space="preserve">Nigeria Data Protection Act 2023: </w:t>
      </w:r>
      <w:r>
        <w:t>https://ndpc.gov.ng/download/nigeria-data-protection-act-2023</w:t>
      </w:r>
    </w:p>
    <w:p>
      <w:pPr>
        <w:pStyle w:val="ListBullet"/>
      </w:pPr>
      <w:r>
        <w:rPr>
          <w:b/>
        </w:rPr>
        <w:t xml:space="preserve">NDP Act General Application and Implementation Directive (GAID) 2025: </w:t>
      </w:r>
      <w:r>
        <w:t>https://ndpc.gov.ng/wp-content/uploads/2025/07/NDP-ACT-GAID-2025-MARCH-20TH.pdf</w:t>
      </w:r>
    </w:p>
    <w:p>
      <w:pPr>
        <w:pStyle w:val="ListBullet"/>
      </w:pPr>
      <w:r>
        <w:rPr>
          <w:b/>
        </w:rPr>
        <w:t xml:space="preserve">Nigeria Data Protection Commission resources: </w:t>
      </w:r>
      <w:r>
        <w:t>https://ndpc.gov.ng/resources/</w:t>
      </w:r>
    </w:p>
    <w:p>
      <w:pPr>
        <w:pStyle w:val="ListBullet"/>
      </w:pPr>
      <w:r>
        <w:rPr>
          <w:b/>
        </w:rPr>
        <w:t xml:space="preserve">Copyright Act 2022 - Nigerian Copyright Commission: </w:t>
      </w:r>
      <w:r>
        <w:t>https://www.copyright.gov.ng/CopyrightAct/</w:t>
      </w:r>
    </w:p>
    <w:p>
      <w:pPr>
        <w:pStyle w:val="ListBullet"/>
      </w:pPr>
      <w:r>
        <w:rPr>
          <w:b/>
        </w:rPr>
        <w:t xml:space="preserve">Nigerian Copyright eRegistration System: </w:t>
      </w:r>
      <w:r>
        <w:t>https://eregistration.copyright.gov.ng/</w:t>
      </w:r>
    </w:p>
    <w:p>
      <w:pPr>
        <w:pStyle w:val="ListBullet"/>
      </w:pPr>
      <w:r>
        <w:rPr>
          <w:b/>
        </w:rPr>
        <w:t xml:space="preserve">Google Play - User Data policy: </w:t>
      </w:r>
      <w:r>
        <w:t>https://support.google.com/googleplay/android-developer/answer/10144311</w:t>
      </w:r>
    </w:p>
    <w:p>
      <w:pPr>
        <w:pStyle w:val="ListBullet"/>
      </w:pPr>
      <w:r>
        <w:rPr>
          <w:b/>
        </w:rPr>
        <w:t xml:space="preserve">Google Play - Prepare your app for review: </w:t>
      </w:r>
      <w:r>
        <w:t>https://support.google.com/googleplay/android-developer/answer/9859455</w:t>
      </w:r>
    </w:p>
    <w:p>
      <w:pPr>
        <w:pStyle w:val="ListBullet"/>
      </w:pPr>
      <w:r>
        <w:rPr>
          <w:b/>
        </w:rPr>
        <w:t xml:space="preserve">Google Play - Target API requirements: </w:t>
      </w:r>
      <w:r>
        <w:t>https://support.google.com/googleplay/android-developer/answer/11926878</w:t>
      </w:r>
    </w:p>
    <w:p>
      <w:pPr>
        <w:pStyle w:val="ListBullet"/>
      </w:pPr>
      <w:r>
        <w:rPr>
          <w:b/>
        </w:rPr>
        <w:t xml:space="preserve">Google Play - Foreground service requirements: </w:t>
      </w:r>
      <w:r>
        <w:t>https://support.google.com/googleplay/android-developer/answer/13392821</w:t>
      </w:r>
    </w:p>
    <w:p>
      <w:r>
        <w:br w:type="page"/>
      </w:r>
    </w:p>
    <w:p>
      <w:pPr>
        <w:jc w:val="center"/>
      </w:pPr>
      <w:r>
        <w:rPr>
          <w:b/>
          <w:color w:val="171717"/>
          <w:sz w:val="36"/>
        </w:rPr>
        <w:t>04 Nod P2P Protocol and Data Model Specification</w:t>
      </w:r>
    </w:p>
    <w:tbl>
      <w:tblPr>
        <w:tblW w:type="auto" w:w="0"/>
        <w:tblLook w:firstColumn="1" w:firstRow="1" w:lastColumn="0" w:lastRow="0" w:noHBand="0" w:noVBand="1" w:val="04A0"/>
      </w:tblPr>
      <w:tblGrid>
        <w:gridCol w:w="9994"/>
      </w:tblGrid>
      <w:tr>
        <w:tc>
          <w:tcPr>
            <w:tcW w:type="dxa" w:w="9994"/>
            <w:shd w:fill="BFFF00"/>
          </w:tcPr>
          <w:p>
            <w:r/>
          </w:p>
        </w:tc>
      </w:tr>
    </w:tbl>
    <w:p>
      <w:pPr>
        <w:pStyle w:val="Heading1"/>
        <w:keepNext/>
      </w:pPr>
      <w:r>
        <w:t>1. Protocol objectives</w:t>
      </w:r>
    </w:p>
    <w:p>
      <w:pPr>
        <w:pStyle w:val="ListBullet"/>
      </w:pPr>
      <w:r>
        <w:t>Human-verifiable peer authentication.</w:t>
      </w:r>
    </w:p>
    <w:p>
      <w:pPr>
        <w:pStyle w:val="ListBullet"/>
      </w:pPr>
      <w:r>
        <w:t>Explicit content consent after connection consent.</w:t>
      </w:r>
    </w:p>
    <w:p>
      <w:pPr>
        <w:pStyle w:val="ListBullet"/>
      </w:pPr>
      <w:r>
        <w:t>Versioned forward-compatible control messages.</w:t>
      </w:r>
    </w:p>
    <w:p>
      <w:pPr>
        <w:pStyle w:val="ListBullet"/>
      </w:pPr>
      <w:r>
        <w:t>Unambiguous payload/manifest correlation.</w:t>
      </w:r>
    </w:p>
    <w:p>
      <w:pPr>
        <w:pStyle w:val="ListBullet"/>
      </w:pPr>
      <w:r>
        <w:t>Integrity verification and safe failure.</w:t>
      </w:r>
    </w:p>
    <w:p>
      <w:pPr>
        <w:pStyle w:val="ListBullet"/>
      </w:pPr>
      <w:r>
        <w:t>No dependence on transport delivery ordering between control/file payload classes.</w:t>
      </w:r>
    </w:p>
    <w:p>
      <w:pPr>
        <w:pStyle w:val="Heading1"/>
        <w:keepNext/>
      </w:pPr>
      <w:r>
        <w:t>2. Session state machine</w:t>
      </w:r>
    </w:p>
    <w:p>
      <w:r>
        <w:t>IDLE -&gt; READY -&gt; DISCOVERING -&gt; PEER_FOUND -&gt; CONNECTION_REQUESTED -&gt; VERIFYING -&gt; CONNECTED -&gt; CONTENT_PROPOSED -&gt; AWAITING_ACCEPTANCE -&gt; TRANSFERRING -&gt; VERIFYING_PAYLOAD -&gt; COMPLETED -&gt; DISCONNECTED.</w:t>
      </w:r>
    </w:p>
    <w:p>
      <w:r>
        <w:t>Failure states include PERMISSION_DENIED, PEER_LOST, USER_REJECTED, AUTHENTICATION_FAILED, TRANSFER_INTERRUPTED, INSUFFICIENT_STORAGE, INTEGRITY_FAILED, TIMEOUT, CANCELLED and UNSUPPORTED_VERSION.</w:t>
      </w:r>
    </w:p>
    <w:p>
      <w:pPr>
        <w:pStyle w:val="Heading1"/>
        <w:keepNext/>
      </w:pPr>
      <w:r>
        <w:t>3. Envelope</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71717"/>
          </w:tcPr>
          <w:p>
            <w:r>
              <w:rPr>
                <w:b/>
                <w:color w:val="FFFFFF"/>
                <w:sz w:val="17"/>
              </w:rPr>
              <w:t>Field</w:t>
            </w:r>
          </w:p>
        </w:tc>
        <w:tc>
          <w:tcPr>
            <w:tcW w:type="dxa" w:w="3331"/>
            <w:shd w:fill="171717"/>
          </w:tcPr>
          <w:p>
            <w:r>
              <w:rPr>
                <w:b/>
                <w:color w:val="FFFFFF"/>
                <w:sz w:val="17"/>
              </w:rPr>
              <w:t>Type</w:t>
            </w:r>
          </w:p>
        </w:tc>
        <w:tc>
          <w:tcPr>
            <w:tcW w:type="dxa" w:w="3331"/>
            <w:shd w:fill="171717"/>
          </w:tcPr>
          <w:p>
            <w:r>
              <w:rPr>
                <w:b/>
                <w:color w:val="FFFFFF"/>
                <w:sz w:val="17"/>
              </w:rPr>
              <w:t>Purpose</w:t>
            </w:r>
          </w:p>
        </w:tc>
      </w:tr>
      <w:tr>
        <w:tc>
          <w:tcPr>
            <w:tcW w:type="dxa" w:w="3331"/>
          </w:tcPr>
          <w:p>
            <w:pPr>
              <w:spacing w:after="0"/>
            </w:pPr>
            <w:r>
              <w:rPr>
                <w:sz w:val="17"/>
              </w:rPr>
              <w:t>protocol_version</w:t>
            </w:r>
          </w:p>
        </w:tc>
        <w:tc>
          <w:tcPr>
            <w:tcW w:type="dxa" w:w="3331"/>
          </w:tcPr>
          <w:p>
            <w:pPr>
              <w:spacing w:after="0"/>
            </w:pPr>
            <w:r>
              <w:rPr>
                <w:sz w:val="17"/>
              </w:rPr>
              <w:t>uint32</w:t>
            </w:r>
          </w:p>
        </w:tc>
        <w:tc>
          <w:tcPr>
            <w:tcW w:type="dxa" w:w="3331"/>
          </w:tcPr>
          <w:p>
            <w:pPr>
              <w:spacing w:after="0"/>
            </w:pPr>
            <w:r>
              <w:rPr>
                <w:sz w:val="17"/>
              </w:rPr>
              <w:t>Compatibility negotiation.</w:t>
            </w:r>
          </w:p>
        </w:tc>
      </w:tr>
      <w:tr>
        <w:tc>
          <w:tcPr>
            <w:tcW w:type="dxa" w:w="3331"/>
            <w:shd w:fill="FAFAFA"/>
          </w:tcPr>
          <w:p>
            <w:pPr>
              <w:spacing w:after="0"/>
            </w:pPr>
            <w:r>
              <w:rPr>
                <w:sz w:val="17"/>
              </w:rPr>
              <w:t>session_id</w:t>
            </w:r>
          </w:p>
        </w:tc>
        <w:tc>
          <w:tcPr>
            <w:tcW w:type="dxa" w:w="3331"/>
            <w:shd w:fill="FAFAFA"/>
          </w:tcPr>
          <w:p>
            <w:pPr>
              <w:spacing w:after="0"/>
            </w:pPr>
            <w:r>
              <w:rPr>
                <w:sz w:val="17"/>
              </w:rPr>
              <w:t>UUID/string</w:t>
            </w:r>
          </w:p>
        </w:tc>
        <w:tc>
          <w:tcPr>
            <w:tcW w:type="dxa" w:w="3331"/>
            <w:shd w:fill="FAFAFA"/>
          </w:tcPr>
          <w:p>
            <w:pPr>
              <w:spacing w:after="0"/>
            </w:pPr>
            <w:r>
              <w:rPr>
                <w:sz w:val="17"/>
              </w:rPr>
              <w:t>Logical connection.</w:t>
            </w:r>
          </w:p>
        </w:tc>
      </w:tr>
      <w:tr>
        <w:tc>
          <w:tcPr>
            <w:tcW w:type="dxa" w:w="3331"/>
          </w:tcPr>
          <w:p>
            <w:pPr>
              <w:spacing w:after="0"/>
            </w:pPr>
            <w:r>
              <w:rPr>
                <w:sz w:val="17"/>
              </w:rPr>
              <w:t>message_id</w:t>
            </w:r>
          </w:p>
        </w:tc>
        <w:tc>
          <w:tcPr>
            <w:tcW w:type="dxa" w:w="3331"/>
          </w:tcPr>
          <w:p>
            <w:pPr>
              <w:spacing w:after="0"/>
            </w:pPr>
            <w:r>
              <w:rPr>
                <w:sz w:val="17"/>
              </w:rPr>
              <w:t>UUID/string</w:t>
            </w:r>
          </w:p>
        </w:tc>
        <w:tc>
          <w:tcPr>
            <w:tcW w:type="dxa" w:w="3331"/>
          </w:tcPr>
          <w:p>
            <w:pPr>
              <w:spacing w:after="0"/>
            </w:pPr>
            <w:r>
              <w:rPr>
                <w:sz w:val="17"/>
              </w:rPr>
              <w:t>Deduplication/correlation.</w:t>
            </w:r>
          </w:p>
        </w:tc>
      </w:tr>
      <w:tr>
        <w:tc>
          <w:tcPr>
            <w:tcW w:type="dxa" w:w="3331"/>
            <w:shd w:fill="FAFAFA"/>
          </w:tcPr>
          <w:p>
            <w:pPr>
              <w:spacing w:after="0"/>
            </w:pPr>
            <w:r>
              <w:rPr>
                <w:sz w:val="17"/>
              </w:rPr>
              <w:t>timestamp</w:t>
            </w:r>
          </w:p>
        </w:tc>
        <w:tc>
          <w:tcPr>
            <w:tcW w:type="dxa" w:w="3331"/>
            <w:shd w:fill="FAFAFA"/>
          </w:tcPr>
          <w:p>
            <w:pPr>
              <w:spacing w:after="0"/>
            </w:pPr>
            <w:r>
              <w:rPr>
                <w:sz w:val="17"/>
              </w:rPr>
              <w:t>int64</w:t>
            </w:r>
          </w:p>
        </w:tc>
        <w:tc>
          <w:tcPr>
            <w:tcW w:type="dxa" w:w="3331"/>
            <w:shd w:fill="FAFAFA"/>
          </w:tcPr>
          <w:p>
            <w:pPr>
              <w:spacing w:after="0"/>
            </w:pPr>
            <w:r>
              <w:rPr>
                <w:sz w:val="17"/>
              </w:rPr>
              <w:t>Diagnostic ordering only; not trust/security authority.</w:t>
            </w:r>
          </w:p>
        </w:tc>
      </w:tr>
      <w:tr>
        <w:tc>
          <w:tcPr>
            <w:tcW w:type="dxa" w:w="3331"/>
          </w:tcPr>
          <w:p>
            <w:pPr>
              <w:spacing w:after="0"/>
            </w:pPr>
            <w:r>
              <w:rPr>
                <w:sz w:val="17"/>
              </w:rPr>
              <w:t>message_type</w:t>
            </w:r>
          </w:p>
        </w:tc>
        <w:tc>
          <w:tcPr>
            <w:tcW w:type="dxa" w:w="3331"/>
          </w:tcPr>
          <w:p>
            <w:pPr>
              <w:spacing w:after="0"/>
            </w:pPr>
            <w:r>
              <w:rPr>
                <w:sz w:val="17"/>
              </w:rPr>
              <w:t>enum</w:t>
            </w:r>
          </w:p>
        </w:tc>
        <w:tc>
          <w:tcPr>
            <w:tcW w:type="dxa" w:w="3331"/>
          </w:tcPr>
          <w:p>
            <w:pPr>
              <w:spacing w:after="0"/>
            </w:pPr>
            <w:r>
              <w:rPr>
                <w:sz w:val="17"/>
              </w:rPr>
              <w:t>HELLO, VERIFY, PROFILE_OFFER, MANIFEST, ACCEPT, REJECT, CANCEL, COMPLETE, ERROR.</w:t>
            </w:r>
          </w:p>
        </w:tc>
      </w:tr>
      <w:tr>
        <w:tc>
          <w:tcPr>
            <w:tcW w:type="dxa" w:w="3331"/>
            <w:shd w:fill="FAFAFA"/>
          </w:tcPr>
          <w:p>
            <w:pPr>
              <w:spacing w:after="0"/>
            </w:pPr>
            <w:r>
              <w:rPr>
                <w:sz w:val="17"/>
              </w:rPr>
              <w:t>body</w:t>
            </w:r>
          </w:p>
        </w:tc>
        <w:tc>
          <w:tcPr>
            <w:tcW w:type="dxa" w:w="3331"/>
            <w:shd w:fill="FAFAFA"/>
          </w:tcPr>
          <w:p>
            <w:pPr>
              <w:spacing w:after="0"/>
            </w:pPr>
            <w:r>
              <w:rPr>
                <w:sz w:val="17"/>
              </w:rPr>
              <w:t>typed message</w:t>
            </w:r>
          </w:p>
        </w:tc>
        <w:tc>
          <w:tcPr>
            <w:tcW w:type="dxa" w:w="3331"/>
            <w:shd w:fill="FAFAFA"/>
          </w:tcPr>
          <w:p>
            <w:pPr>
              <w:spacing w:after="0"/>
            </w:pPr>
            <w:r>
              <w:rPr>
                <w:sz w:val="17"/>
              </w:rPr>
              <w:t>Message-specific payload.</w:t>
            </w:r>
          </w:p>
        </w:tc>
      </w:tr>
    </w:tbl>
    <w:p>
      <w:pPr>
        <w:pStyle w:val="Heading1"/>
        <w:keepNext/>
      </w:pPr>
      <w:r>
        <w:t>4. Transfer manifest</w:t>
      </w:r>
    </w:p>
    <w:tbl>
      <w:tblPr>
        <w:tblStyle w:val="TableGrid"/>
        <w:tblW w:type="auto" w:w="0"/>
        <w:jc w:val="center"/>
        <w:tblLook w:firstColumn="1" w:firstRow="1" w:lastColumn="0" w:lastRow="0" w:noHBand="0" w:noVBand="1" w:val="04A0"/>
      </w:tblPr>
      <w:tblGrid>
        <w:gridCol w:w="4997"/>
        <w:gridCol w:w="4997"/>
      </w:tblGrid>
      <w:tr>
        <w:tc>
          <w:tcPr>
            <w:tcW w:type="dxa" w:w="4997"/>
            <w:shd w:fill="171717"/>
          </w:tcPr>
          <w:p>
            <w:r>
              <w:rPr>
                <w:b/>
                <w:color w:val="FFFFFF"/>
                <w:sz w:val="17"/>
              </w:rPr>
              <w:t>Field</w:t>
            </w:r>
          </w:p>
        </w:tc>
        <w:tc>
          <w:tcPr>
            <w:tcW w:type="dxa" w:w="4997"/>
            <w:shd w:fill="171717"/>
          </w:tcPr>
          <w:p>
            <w:r>
              <w:rPr>
                <w:b/>
                <w:color w:val="FFFFFF"/>
                <w:sz w:val="17"/>
              </w:rPr>
              <w:t>Description</w:t>
            </w:r>
          </w:p>
        </w:tc>
      </w:tr>
      <w:tr>
        <w:tc>
          <w:tcPr>
            <w:tcW w:type="dxa" w:w="4997"/>
          </w:tcPr>
          <w:p>
            <w:pPr>
              <w:spacing w:after="0"/>
            </w:pPr>
            <w:r>
              <w:rPr>
                <w:sz w:val="17"/>
              </w:rPr>
              <w:t>transfer_id</w:t>
            </w:r>
          </w:p>
        </w:tc>
        <w:tc>
          <w:tcPr>
            <w:tcW w:type="dxa" w:w="4997"/>
          </w:tcPr>
          <w:p>
            <w:pPr>
              <w:spacing w:after="0"/>
            </w:pPr>
            <w:r>
              <w:rPr>
                <w:sz w:val="17"/>
              </w:rPr>
              <w:t>Unique identifier.</w:t>
            </w:r>
          </w:p>
        </w:tc>
      </w:tr>
      <w:tr>
        <w:tc>
          <w:tcPr>
            <w:tcW w:type="dxa" w:w="4997"/>
            <w:shd w:fill="FAFAFA"/>
          </w:tcPr>
          <w:p>
            <w:pPr>
              <w:spacing w:after="0"/>
            </w:pPr>
            <w:r>
              <w:rPr>
                <w:sz w:val="17"/>
              </w:rPr>
              <w:t>items[]</w:t>
            </w:r>
          </w:p>
        </w:tc>
        <w:tc>
          <w:tcPr>
            <w:tcW w:type="dxa" w:w="4997"/>
            <w:shd w:fill="FAFAFA"/>
          </w:tcPr>
          <w:p>
            <w:pPr>
              <w:spacing w:after="0"/>
            </w:pPr>
            <w:r>
              <w:rPr>
                <w:sz w:val="17"/>
              </w:rPr>
              <w:t>Item IDs with display name, MIME, byte length and SHA-256.</w:t>
            </w:r>
          </w:p>
        </w:tc>
      </w:tr>
      <w:tr>
        <w:tc>
          <w:tcPr>
            <w:tcW w:type="dxa" w:w="4997"/>
          </w:tcPr>
          <w:p>
            <w:pPr>
              <w:spacing w:after="0"/>
            </w:pPr>
            <w:r>
              <w:rPr>
                <w:sz w:val="17"/>
              </w:rPr>
              <w:t>total_bytes</w:t>
            </w:r>
          </w:p>
        </w:tc>
        <w:tc>
          <w:tcPr>
            <w:tcW w:type="dxa" w:w="4997"/>
          </w:tcPr>
          <w:p>
            <w:pPr>
              <w:spacing w:after="0"/>
            </w:pPr>
            <w:r>
              <w:rPr>
                <w:sz w:val="17"/>
              </w:rPr>
              <w:t>Aggregate bytes for capacity/progress.</w:t>
            </w:r>
          </w:p>
        </w:tc>
      </w:tr>
      <w:tr>
        <w:tc>
          <w:tcPr>
            <w:tcW w:type="dxa" w:w="4997"/>
            <w:shd w:fill="FAFAFA"/>
          </w:tcPr>
          <w:p>
            <w:pPr>
              <w:spacing w:after="0"/>
            </w:pPr>
            <w:r>
              <w:rPr>
                <w:sz w:val="17"/>
              </w:rPr>
              <w:t>content_category</w:t>
            </w:r>
          </w:p>
        </w:tc>
        <w:tc>
          <w:tcPr>
            <w:tcW w:type="dxa" w:w="4997"/>
            <w:shd w:fill="FAFAFA"/>
          </w:tcPr>
          <w:p>
            <w:pPr>
              <w:spacing w:after="0"/>
            </w:pPr>
            <w:r>
              <w:rPr>
                <w:sz w:val="17"/>
              </w:rPr>
              <w:t>contacts/photos/videos/documents/mixed.</w:t>
            </w:r>
          </w:p>
        </w:tc>
      </w:tr>
      <w:tr>
        <w:tc>
          <w:tcPr>
            <w:tcW w:type="dxa" w:w="4997"/>
          </w:tcPr>
          <w:p>
            <w:pPr>
              <w:spacing w:after="0"/>
            </w:pPr>
            <w:r>
              <w:rPr>
                <w:sz w:val="17"/>
              </w:rPr>
              <w:t>sender_alias</w:t>
            </w:r>
          </w:p>
        </w:tc>
        <w:tc>
          <w:tcPr>
            <w:tcW w:type="dxa" w:w="4997"/>
          </w:tcPr>
          <w:p>
            <w:pPr>
              <w:spacing w:after="0"/>
            </w:pPr>
            <w:r>
              <w:rPr>
                <w:sz w:val="17"/>
              </w:rPr>
              <w:t>Nearby alias only; full profile shared separately by consent.</w:t>
            </w:r>
          </w:p>
        </w:tc>
      </w:tr>
    </w:tbl>
    <w:p>
      <w:pPr>
        <w:pStyle w:val="Heading1"/>
        <w:keepNext/>
      </w:pPr>
      <w:r>
        <w:t>5. Transfer rules</w:t>
      </w:r>
    </w:p>
    <w:p>
      <w:pPr>
        <w:pStyle w:val="ListNumber"/>
      </w:pPr>
      <w:r>
        <w:t>Sender establishes verified session.</w:t>
      </w:r>
    </w:p>
    <w:p>
      <w:pPr>
        <w:pStyle w:val="ListNumber"/>
      </w:pPr>
      <w:r>
        <w:t>Sender sends metadata offer/manifest before large file bytes.</w:t>
      </w:r>
    </w:p>
    <w:p>
      <w:pPr>
        <w:pStyle w:val="ListNumber"/>
      </w:pPr>
      <w:r>
        <w:t>Receiver reviews source alias, item count, types and total size.</w:t>
      </w:r>
    </w:p>
    <w:p>
      <w:pPr>
        <w:pStyle w:val="ListNumber"/>
      </w:pPr>
      <w:r>
        <w:t>Receiver accepts or rejects.</w:t>
      </w:r>
    </w:p>
    <w:p>
      <w:pPr>
        <w:pStyle w:val="ListNumber"/>
      </w:pPr>
      <w:r>
        <w:t>On acceptance, sender begins payload transfer and maps transport payload IDs to manifest item IDs.</w:t>
      </w:r>
    </w:p>
    <w:p>
      <w:pPr>
        <w:pStyle w:val="ListNumber"/>
      </w:pPr>
      <w:r>
        <w:t>Receiver writes to private temporary destination while computing/verifying hashes.</w:t>
      </w:r>
    </w:p>
    <w:p>
      <w:pPr>
        <w:pStyle w:val="ListNumber"/>
      </w:pPr>
      <w:r>
        <w:t>Only verified files are atomically finalized to MediaStore/Downloads or selected destination.</w:t>
      </w:r>
    </w:p>
    <w:p>
      <w:pPr>
        <w:pStyle w:val="ListNumber"/>
      </w:pPr>
      <w:r>
        <w:t>Both parties receive completion/error control messages; temporary files are removed on terminal failures.</w:t>
      </w:r>
    </w:p>
    <w:p>
      <w:pPr>
        <w:pStyle w:val="Heading1"/>
        <w:keepNext/>
      </w:pPr>
      <w:r>
        <w:t>6. Profile data model</w:t>
      </w:r>
    </w:p>
    <w:tbl>
      <w:tblPr>
        <w:tblStyle w:val="TableGrid"/>
        <w:tblW w:type="auto" w:w="0"/>
        <w:jc w:val="center"/>
        <w:tblLook w:firstColumn="1" w:firstRow="1" w:lastColumn="0" w:lastRow="0" w:noHBand="0" w:noVBand="1" w:val="04A0"/>
      </w:tblPr>
      <w:tblGrid>
        <w:gridCol w:w="4997"/>
        <w:gridCol w:w="4997"/>
      </w:tblGrid>
      <w:tr>
        <w:tc>
          <w:tcPr>
            <w:tcW w:type="dxa" w:w="4997"/>
            <w:shd w:fill="171717"/>
          </w:tcPr>
          <w:p>
            <w:r>
              <w:rPr>
                <w:b/>
                <w:color w:val="FFFFFF"/>
                <w:sz w:val="17"/>
              </w:rPr>
              <w:t>Entity</w:t>
            </w:r>
          </w:p>
        </w:tc>
        <w:tc>
          <w:tcPr>
            <w:tcW w:type="dxa" w:w="4997"/>
            <w:shd w:fill="171717"/>
          </w:tcPr>
          <w:p>
            <w:r>
              <w:rPr>
                <w:b/>
                <w:color w:val="FFFFFF"/>
                <w:sz w:val="17"/>
              </w:rPr>
              <w:t>Core fields</w:t>
            </w:r>
          </w:p>
        </w:tc>
      </w:tr>
      <w:tr>
        <w:tc>
          <w:tcPr>
            <w:tcW w:type="dxa" w:w="4997"/>
          </w:tcPr>
          <w:p>
            <w:pPr>
              <w:spacing w:after="0"/>
            </w:pPr>
            <w:r>
              <w:rPr>
                <w:sz w:val="17"/>
              </w:rPr>
              <w:t>NodProfile</w:t>
            </w:r>
          </w:p>
        </w:tc>
        <w:tc>
          <w:tcPr>
            <w:tcW w:type="dxa" w:w="4997"/>
          </w:tcPr>
          <w:p>
            <w:pPr>
              <w:spacing w:after="0"/>
            </w:pPr>
            <w:r>
              <w:rPr>
                <w:sz w:val="17"/>
              </w:rPr>
              <w:t>profileId, displayName, avatarUri, phones[], emails[], company?, jobTitle?, website?, socialLinks[], createdAt, updatedAt</w:t>
            </w:r>
          </w:p>
        </w:tc>
      </w:tr>
      <w:tr>
        <w:tc>
          <w:tcPr>
            <w:tcW w:type="dxa" w:w="4997"/>
            <w:shd w:fill="FAFAFA"/>
          </w:tcPr>
          <w:p>
            <w:pPr>
              <w:spacing w:after="0"/>
            </w:pPr>
            <w:r>
              <w:rPr>
                <w:sz w:val="17"/>
              </w:rPr>
              <w:t>ShareProfile</w:t>
            </w:r>
          </w:p>
        </w:tc>
        <w:tc>
          <w:tcPr>
            <w:tcW w:type="dxa" w:w="4997"/>
            <w:shd w:fill="FAFAFA"/>
          </w:tcPr>
          <w:p>
            <w:pPr>
              <w:spacing w:after="0"/>
            </w:pPr>
            <w:r>
              <w:rPr>
                <w:sz w:val="17"/>
              </w:rPr>
              <w:t>shareProfileId, label, ordered field-selection rules, isDefault</w:t>
            </w:r>
          </w:p>
        </w:tc>
      </w:tr>
      <w:tr>
        <w:tc>
          <w:tcPr>
            <w:tcW w:type="dxa" w:w="4997"/>
          </w:tcPr>
          <w:p>
            <w:pPr>
              <w:spacing w:after="0"/>
            </w:pPr>
            <w:r>
              <w:rPr>
                <w:sz w:val="17"/>
              </w:rPr>
              <w:t>NearbyIdentity</w:t>
            </w:r>
          </w:p>
        </w:tc>
        <w:tc>
          <w:tcPr>
            <w:tcW w:type="dxa" w:w="4997"/>
          </w:tcPr>
          <w:p>
            <w:pPr>
              <w:spacing w:after="0"/>
            </w:pPr>
            <w:r>
              <w:rPr>
                <w:sz w:val="17"/>
              </w:rPr>
              <w:t>ephemeralPeerId, nearbyAlias, capability flags; no full contact fields</w:t>
            </w:r>
          </w:p>
        </w:tc>
      </w:tr>
      <w:tr>
        <w:tc>
          <w:tcPr>
            <w:tcW w:type="dxa" w:w="4997"/>
            <w:shd w:fill="FAFAFA"/>
          </w:tcPr>
          <w:p>
            <w:pPr>
              <w:spacing w:after="0"/>
            </w:pPr>
            <w:r>
              <w:rPr>
                <w:sz w:val="17"/>
              </w:rPr>
              <w:t>TransferRecord</w:t>
            </w:r>
          </w:p>
        </w:tc>
        <w:tc>
          <w:tcPr>
            <w:tcW w:type="dxa" w:w="4997"/>
            <w:shd w:fill="FAFAFA"/>
          </w:tcPr>
          <w:p>
            <w:pPr>
              <w:spacing w:after="0"/>
            </w:pPr>
            <w:r>
              <w:rPr>
                <w:sz w:val="17"/>
              </w:rPr>
              <w:t>transferId, direction, category, itemCount, peerAlias, status, startedAt, completedAt, byteCount</w:t>
            </w:r>
          </w:p>
        </w:tc>
      </w:tr>
      <w:tr>
        <w:tc>
          <w:tcPr>
            <w:tcW w:type="dxa" w:w="4997"/>
          </w:tcPr>
          <w:p>
            <w:pPr>
              <w:spacing w:after="0"/>
            </w:pPr>
            <w:r>
              <w:rPr>
                <w:sz w:val="17"/>
              </w:rPr>
              <w:t>BlockedPeer</w:t>
            </w:r>
          </w:p>
        </w:tc>
        <w:tc>
          <w:tcPr>
            <w:tcW w:type="dxa" w:w="4997"/>
          </w:tcPr>
          <w:p>
            <w:pPr>
              <w:spacing w:after="0"/>
            </w:pPr>
            <w:r>
              <w:rPr>
                <w:sz w:val="17"/>
              </w:rPr>
              <w:t>stable local fingerprint/identifier where available, alias snapshot, blockedAt</w:t>
            </w:r>
          </w:p>
        </w:tc>
      </w:tr>
    </w:tbl>
    <w:p>
      <w:pPr>
        <w:pStyle w:val="Heading1"/>
        <w:keepNext/>
      </w:pPr>
      <w:r>
        <w:t>7. Compatibility</w:t>
      </w:r>
    </w:p>
    <w:p>
      <w:pPr>
        <w:pStyle w:val="ListBullet"/>
      </w:pPr>
      <w:r>
        <w:t>Peers exchange supported protocol version and feature capability flags during HELLO.</w:t>
      </w:r>
    </w:p>
    <w:p>
      <w:pPr>
        <w:pStyle w:val="ListBullet"/>
      </w:pPr>
      <w:r>
        <w:t>Unsupported major versions fail gracefully before content transfer.</w:t>
      </w:r>
    </w:p>
    <w:p>
      <w:pPr>
        <w:pStyle w:val="ListBullet"/>
      </w:pPr>
      <w:r>
        <w:t>Optional fields are ignored when unknown unless marked required by negotiated feature.</w:t>
      </w:r>
    </w:p>
    <w:p>
      <w:pPr>
        <w:pStyle w:val="ListBullet"/>
      </w:pPr>
      <w:r>
        <w:t>No UI should assume transport callback order equals protocol order.</w:t>
      </w:r>
    </w:p>
    <w:p>
      <w:r>
        <w:br w:type="page"/>
      </w:r>
    </w:p>
    <w:p>
      <w:pPr>
        <w:jc w:val="center"/>
      </w:pPr>
      <w:r>
        <w:rPr>
          <w:b/>
          <w:color w:val="171717"/>
          <w:sz w:val="36"/>
        </w:rPr>
        <w:t>05 Nod Security Threat Model and Cryptography Specification</w:t>
      </w:r>
    </w:p>
    <w:tbl>
      <w:tblPr>
        <w:tblW w:type="auto" w:w="0"/>
        <w:tblLook w:firstColumn="1" w:firstRow="1" w:lastColumn="0" w:lastRow="0" w:noHBand="0" w:noVBand="1" w:val="04A0"/>
      </w:tblPr>
      <w:tblGrid>
        <w:gridCol w:w="9994"/>
      </w:tblGrid>
      <w:tr>
        <w:tc>
          <w:tcPr>
            <w:tcW w:type="dxa" w:w="9994"/>
            <w:shd w:fill="BFFF00"/>
          </w:tcPr>
          <w:p>
            <w:r/>
          </w:p>
        </w:tc>
      </w:tr>
    </w:tbl>
    <w:p>
      <w:pPr>
        <w:pStyle w:val="Heading1"/>
        <w:keepNext/>
      </w:pPr>
      <w:r>
        <w:t>1. Security objectives</w:t>
      </w:r>
    </w:p>
    <w:p>
      <w:pPr>
        <w:pStyle w:val="ListBullet"/>
      </w:pPr>
      <w:r>
        <w:t>Confidentiality of local profile and transferred content.</w:t>
      </w:r>
    </w:p>
    <w:p>
      <w:pPr>
        <w:pStyle w:val="ListBullet"/>
      </w:pPr>
      <w:r>
        <w:t>Integrity of completed transfers.</w:t>
      </w:r>
    </w:p>
    <w:p>
      <w:pPr>
        <w:pStyle w:val="ListBullet"/>
      </w:pPr>
      <w:r>
        <w:t>Human assurance that the connected peer is the intended nearby device.</w:t>
      </w:r>
    </w:p>
    <w:p>
      <w:pPr>
        <w:pStyle w:val="ListBullet"/>
      </w:pPr>
      <w:r>
        <w:t>Minimization of discoverability and unsolicited request abuse.</w:t>
      </w:r>
    </w:p>
    <w:p>
      <w:pPr>
        <w:pStyle w:val="ListBullet"/>
      </w:pPr>
      <w:r>
        <w:t>Safe handling of arbitrary received files.</w:t>
      </w:r>
    </w:p>
    <w:p>
      <w:pPr>
        <w:pStyle w:val="ListBullet"/>
      </w:pPr>
      <w:r>
        <w:t>No secret keys stored in source code or logs.</w:t>
      </w:r>
    </w:p>
    <w:p>
      <w:pPr>
        <w:pStyle w:val="Heading1"/>
        <w:keepNext/>
      </w:pPr>
      <w:r>
        <w:t>2. Trust boundaries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71717"/>
          </w:tcPr>
          <w:p>
            <w:r>
              <w:rPr>
                <w:b/>
                <w:color w:val="FFFFFF"/>
                <w:sz w:val="17"/>
              </w:rPr>
              <w:t>Boundary</w:t>
            </w:r>
          </w:p>
        </w:tc>
        <w:tc>
          <w:tcPr>
            <w:tcW w:type="dxa" w:w="3331"/>
            <w:shd w:fill="171717"/>
          </w:tcPr>
          <w:p>
            <w:r>
              <w:rPr>
                <w:b/>
                <w:color w:val="FFFFFF"/>
                <w:sz w:val="17"/>
              </w:rPr>
              <w:t>Threat</w:t>
            </w:r>
          </w:p>
        </w:tc>
        <w:tc>
          <w:tcPr>
            <w:tcW w:type="dxa" w:w="3331"/>
            <w:shd w:fill="171717"/>
          </w:tcPr>
          <w:p>
            <w:r>
              <w:rPr>
                <w:b/>
                <w:color w:val="FFFFFF"/>
                <w:sz w:val="17"/>
              </w:rPr>
              <w:t>Control</w:t>
            </w:r>
          </w:p>
        </w:tc>
      </w:tr>
      <w:tr>
        <w:tc>
          <w:tcPr>
            <w:tcW w:type="dxa" w:w="3331"/>
          </w:tcPr>
          <w:p>
            <w:pPr>
              <w:spacing w:after="0"/>
            </w:pPr>
            <w:r>
              <w:rPr>
                <w:sz w:val="17"/>
              </w:rPr>
              <w:t>Nearby radio/discovery</w:t>
            </w:r>
          </w:p>
        </w:tc>
        <w:tc>
          <w:tcPr>
            <w:tcW w:type="dxa" w:w="3331"/>
          </w:tcPr>
          <w:p>
            <w:pPr>
              <w:spacing w:after="0"/>
            </w:pPr>
            <w:r>
              <w:rPr>
                <w:sz w:val="17"/>
              </w:rPr>
              <w:t>Impersonation / spoofed alias</w:t>
            </w:r>
          </w:p>
        </w:tc>
        <w:tc>
          <w:tcPr>
            <w:tcW w:type="dxa" w:w="3331"/>
          </w:tcPr>
          <w:p>
            <w:pPr>
              <w:spacing w:after="0"/>
            </w:pPr>
            <w:r>
              <w:rPr>
                <w:sz w:val="17"/>
              </w:rPr>
              <w:t>Do not trust display name; verify session token on both devices.</w:t>
            </w:r>
          </w:p>
        </w:tc>
      </w:tr>
      <w:tr>
        <w:tc>
          <w:tcPr>
            <w:tcW w:type="dxa" w:w="3331"/>
            <w:shd w:fill="FAFAFA"/>
          </w:tcPr>
          <w:p>
            <w:pPr>
              <w:spacing w:after="0"/>
            </w:pPr>
            <w:r>
              <w:rPr>
                <w:sz w:val="17"/>
              </w:rPr>
              <w:t>Incoming requests</w:t>
            </w:r>
          </w:p>
        </w:tc>
        <w:tc>
          <w:tcPr>
            <w:tcW w:type="dxa" w:w="3331"/>
            <w:shd w:fill="FAFAFA"/>
          </w:tcPr>
          <w:p>
            <w:pPr>
              <w:spacing w:after="0"/>
            </w:pPr>
            <w:r>
              <w:rPr>
                <w:sz w:val="17"/>
              </w:rPr>
              <w:t>Spam / harassment</w:t>
            </w:r>
          </w:p>
        </w:tc>
        <w:tc>
          <w:tcPr>
            <w:tcW w:type="dxa" w:w="3331"/>
            <w:shd w:fill="FAFAFA"/>
          </w:tcPr>
          <w:p>
            <w:pPr>
              <w:spacing w:after="0"/>
            </w:pPr>
            <w:r>
              <w:rPr>
                <w:sz w:val="17"/>
              </w:rPr>
              <w:t>Rate limit, decline, block, Quick-Nod visibility window.</w:t>
            </w:r>
          </w:p>
        </w:tc>
      </w:tr>
      <w:tr>
        <w:tc>
          <w:tcPr>
            <w:tcW w:type="dxa" w:w="3331"/>
          </w:tcPr>
          <w:p>
            <w:pPr>
              <w:spacing w:after="0"/>
            </w:pPr>
            <w:r>
              <w:rPr>
                <w:sz w:val="17"/>
              </w:rPr>
              <w:t>Local profile storage</w:t>
            </w:r>
          </w:p>
        </w:tc>
        <w:tc>
          <w:tcPr>
            <w:tcW w:type="dxa" w:w="3331"/>
          </w:tcPr>
          <w:p>
            <w:pPr>
              <w:spacing w:after="0"/>
            </w:pPr>
            <w:r>
              <w:rPr>
                <w:sz w:val="17"/>
              </w:rPr>
              <w:t>Device/app data extraction</w:t>
            </w:r>
          </w:p>
        </w:tc>
        <w:tc>
          <w:tcPr>
            <w:tcW w:type="dxa" w:w="3331"/>
          </w:tcPr>
          <w:p>
            <w:pPr>
              <w:spacing w:after="0"/>
            </w:pPr>
            <w:r>
              <w:rPr>
                <w:sz w:val="17"/>
              </w:rPr>
              <w:t>Private app storage, field encryption, Android Keystore-protected key, backup exclusion.</w:t>
            </w:r>
          </w:p>
        </w:tc>
      </w:tr>
      <w:tr>
        <w:tc>
          <w:tcPr>
            <w:tcW w:type="dxa" w:w="3331"/>
            <w:shd w:fill="FAFAFA"/>
          </w:tcPr>
          <w:p>
            <w:pPr>
              <w:spacing w:after="0"/>
            </w:pPr>
            <w:r>
              <w:rPr>
                <w:sz w:val="17"/>
              </w:rPr>
              <w:t>Transfer payload</w:t>
            </w:r>
          </w:p>
        </w:tc>
        <w:tc>
          <w:tcPr>
            <w:tcW w:type="dxa" w:w="3331"/>
            <w:shd w:fill="FAFAFA"/>
          </w:tcPr>
          <w:p>
            <w:pPr>
              <w:spacing w:after="0"/>
            </w:pPr>
            <w:r>
              <w:rPr>
                <w:sz w:val="17"/>
              </w:rPr>
              <w:t>Corruption / truncation</w:t>
            </w:r>
          </w:p>
        </w:tc>
        <w:tc>
          <w:tcPr>
            <w:tcW w:type="dxa" w:w="3331"/>
            <w:shd w:fill="FAFAFA"/>
          </w:tcPr>
          <w:p>
            <w:pPr>
              <w:spacing w:after="0"/>
            </w:pPr>
            <w:r>
              <w:rPr>
                <w:sz w:val="17"/>
              </w:rPr>
              <w:t>Size checks, SHA-256 manifest hashes, atomic finalization.</w:t>
            </w:r>
          </w:p>
        </w:tc>
      </w:tr>
      <w:tr>
        <w:tc>
          <w:tcPr>
            <w:tcW w:type="dxa" w:w="3331"/>
          </w:tcPr>
          <w:p>
            <w:pPr>
              <w:spacing w:after="0"/>
            </w:pPr>
            <w:r>
              <w:rPr>
                <w:sz w:val="17"/>
              </w:rPr>
              <w:t>Received document</w:t>
            </w:r>
          </w:p>
        </w:tc>
        <w:tc>
          <w:tcPr>
            <w:tcW w:type="dxa" w:w="3331"/>
          </w:tcPr>
          <w:p>
            <w:pPr>
              <w:spacing w:after="0"/>
            </w:pPr>
            <w:r>
              <w:rPr>
                <w:sz w:val="17"/>
              </w:rPr>
              <w:t>Malicious content</w:t>
            </w:r>
          </w:p>
        </w:tc>
        <w:tc>
          <w:tcPr>
            <w:tcW w:type="dxa" w:w="3331"/>
          </w:tcPr>
          <w:p>
            <w:pPr>
              <w:spacing w:after="0"/>
            </w:pPr>
            <w:r>
              <w:rPr>
                <w:sz w:val="17"/>
              </w:rPr>
              <w:t>Never execute automatically; open through Android handlers; preserve MIME metadata.</w:t>
            </w:r>
          </w:p>
        </w:tc>
      </w:tr>
      <w:tr>
        <w:tc>
          <w:tcPr>
            <w:tcW w:type="dxa" w:w="3331"/>
            <w:shd w:fill="FAFAFA"/>
          </w:tcPr>
          <w:p>
            <w:pPr>
              <w:spacing w:after="0"/>
            </w:pPr>
            <w:r>
              <w:rPr>
                <w:sz w:val="17"/>
              </w:rPr>
              <w:t>Logs</w:t>
            </w:r>
          </w:p>
        </w:tc>
        <w:tc>
          <w:tcPr>
            <w:tcW w:type="dxa" w:w="3331"/>
            <w:shd w:fill="FAFAFA"/>
          </w:tcPr>
          <w:p>
            <w:pPr>
              <w:spacing w:after="0"/>
            </w:pPr>
            <w:r>
              <w:rPr>
                <w:sz w:val="17"/>
              </w:rPr>
              <w:t>Sensitive data leakage</w:t>
            </w:r>
          </w:p>
        </w:tc>
        <w:tc>
          <w:tcPr>
            <w:tcW w:type="dxa" w:w="3331"/>
            <w:shd w:fill="FAFAFA"/>
          </w:tcPr>
          <w:p>
            <w:pPr>
              <w:spacing w:after="0"/>
            </w:pPr>
            <w:r>
              <w:rPr>
                <w:sz w:val="17"/>
              </w:rPr>
              <w:t>Redact profile values, paths where sensitive, contact content and file content.</w:t>
            </w:r>
          </w:p>
        </w:tc>
      </w:tr>
      <w:tr>
        <w:tc>
          <w:tcPr>
            <w:tcW w:type="dxa" w:w="3331"/>
          </w:tcPr>
          <w:p>
            <w:pPr>
              <w:spacing w:after="0"/>
            </w:pPr>
            <w:r>
              <w:rPr>
                <w:sz w:val="17"/>
              </w:rPr>
              <w:t>Dependencies</w:t>
            </w:r>
          </w:p>
        </w:tc>
        <w:tc>
          <w:tcPr>
            <w:tcW w:type="dxa" w:w="3331"/>
          </w:tcPr>
          <w:p>
            <w:pPr>
              <w:spacing w:after="0"/>
            </w:pPr>
            <w:r>
              <w:rPr>
                <w:sz w:val="17"/>
              </w:rPr>
              <w:t>Compromised SDK/library</w:t>
            </w:r>
          </w:p>
        </w:tc>
        <w:tc>
          <w:tcPr>
            <w:tcW w:type="dxa" w:w="3331"/>
          </w:tcPr>
          <w:p>
            <w:pPr>
              <w:spacing w:after="0"/>
            </w:pPr>
            <w:r>
              <w:rPr>
                <w:sz w:val="17"/>
              </w:rPr>
              <w:t>Pinned dependency management, SBOM/OSS register, update review.</w:t>
            </w:r>
          </w:p>
        </w:tc>
      </w:tr>
    </w:tbl>
    <w:p>
      <w:pPr>
        <w:pStyle w:val="Heading1"/>
        <w:keepNext/>
      </w:pPr>
      <w:r>
        <w:t>3. Pair verification</w:t>
      </w:r>
    </w:p>
    <w:p>
      <w:r>
        <w:t>A connection is not considered trusted merely because a Nearby endpoint connected. Nod shall present the same short authentication token/code on both devices and require user confirmation for the first connection session. The code is a human comparison aid, not a substitute for underlying transport cryptography.</w:t>
      </w:r>
    </w:p>
    <w:p>
      <w:pPr>
        <w:pStyle w:val="Heading1"/>
        <w:keepNext/>
      </w:pPr>
      <w:r>
        <w:t>4. Local encryption</w:t>
      </w:r>
    </w:p>
    <w:p>
      <w:pPr>
        <w:pStyle w:val="ListBullet"/>
      </w:pPr>
      <w:r>
        <w:t>Generate a random AES key at first profile creation.</w:t>
      </w:r>
    </w:p>
    <w:p>
      <w:pPr>
        <w:pStyle w:val="ListBullet"/>
      </w:pPr>
      <w:r>
        <w:t>Protect/wrap the key using Android Keystore capabilities appropriate to supported API levels.</w:t>
      </w:r>
    </w:p>
    <w:p>
      <w:pPr>
        <w:pStyle w:val="ListBullet"/>
      </w:pPr>
      <w:r>
        <w:t>Use AES-GCM with unique nonces/IVs for encrypted profile records.</w:t>
      </w:r>
    </w:p>
    <w:p>
      <w:pPr>
        <w:pStyle w:val="ListBullet"/>
      </w:pPr>
      <w:r>
        <w:t>Do not reuse GCM nonces with the same key.</w:t>
      </w:r>
    </w:p>
    <w:p>
      <w:pPr>
        <w:pStyle w:val="ListBullet"/>
      </w:pPr>
      <w:r>
        <w:t>Do not store plaintext profile export files by default.</w:t>
      </w:r>
    </w:p>
    <w:p>
      <w:pPr>
        <w:pStyle w:val="ListBullet"/>
      </w:pPr>
      <w:r>
        <w:t>Exclude sensitive Nod profile storage and keys from Android cloud/device-transfer backup where technically applicable.</w:t>
      </w:r>
    </w:p>
    <w:p>
      <w:pPr>
        <w:pStyle w:val="Heading1"/>
        <w:keepNext/>
      </w:pPr>
      <w:r>
        <w:t>5. File integrity</w:t>
      </w:r>
    </w:p>
    <w:p>
      <w:r>
        <w:t>Sender computes or provides SHA-256 per transfer item. Receiver hashes the received temp content and compares before finalization. Mismatch results in INTEGRITY_FAILED and deletion/quarantine of the incomplete item.</w:t>
      </w:r>
    </w:p>
    <w:p>
      <w:pPr>
        <w:pStyle w:val="Heading1"/>
        <w:keepNext/>
      </w:pPr>
      <w:r>
        <w:t>6. Abuse controls</w:t>
      </w:r>
    </w:p>
    <w:p>
      <w:pPr>
        <w:pStyle w:val="ListBullet"/>
      </w:pPr>
      <w:r>
        <w:t>Temporary discovery visibility by default.</w:t>
      </w:r>
    </w:p>
    <w:p>
      <w:pPr>
        <w:pStyle w:val="ListBullet"/>
      </w:pPr>
      <w:r>
        <w:t>Separate device-connection consent from content-receipt consent.</w:t>
      </w:r>
    </w:p>
    <w:p>
      <w:pPr>
        <w:pStyle w:val="ListBullet"/>
      </w:pPr>
      <w:r>
        <w:t>Block peer action available from request and history surfaces.</w:t>
      </w:r>
    </w:p>
    <w:p>
      <w:pPr>
        <w:pStyle w:val="ListBullet"/>
      </w:pPr>
      <w:r>
        <w:t>Request cooldown/rate limit.</w:t>
      </w:r>
    </w:p>
    <w:p>
      <w:pPr>
        <w:pStyle w:val="ListBullet"/>
      </w:pPr>
      <w:r>
        <w:t>No background pop-up that bypasses lock screen or Android background-launch rules.</w:t>
      </w:r>
    </w:p>
    <w:p>
      <w:pPr>
        <w:pStyle w:val="Heading1"/>
        <w:keepNext/>
      </w:pPr>
      <w:r>
        <w:t>7. Security testing</w:t>
      </w:r>
    </w:p>
    <w:p>
      <w:pPr>
        <w:pStyle w:val="ListBullet"/>
      </w:pPr>
      <w:r>
        <w:t>Pairing MITM/alias-spoof simulation.</w:t>
      </w:r>
    </w:p>
    <w:p>
      <w:pPr>
        <w:pStyle w:val="ListBullet"/>
      </w:pPr>
      <w:r>
        <w:t>Malformed Protobuf messages and oversized manifest fuzzing.</w:t>
      </w:r>
    </w:p>
    <w:p>
      <w:pPr>
        <w:pStyle w:val="ListBullet"/>
      </w:pPr>
      <w:r>
        <w:t>Path traversal / hostile filenames.</w:t>
      </w:r>
    </w:p>
    <w:p>
      <w:pPr>
        <w:pStyle w:val="ListBullet"/>
      </w:pPr>
      <w:r>
        <w:t>Interrupted payload and duplicate message replay.</w:t>
      </w:r>
    </w:p>
    <w:p>
      <w:pPr>
        <w:pStyle w:val="ListBullet"/>
      </w:pPr>
      <w:r>
        <w:t>Hash mismatch.</w:t>
      </w:r>
    </w:p>
    <w:p>
      <w:pPr>
        <w:pStyle w:val="ListBullet"/>
      </w:pPr>
      <w:r>
        <w:t>Low storage.</w:t>
      </w:r>
    </w:p>
    <w:p>
      <w:pPr>
        <w:pStyle w:val="ListBullet"/>
      </w:pPr>
      <w:r>
        <w:t>Permission downgrade.</w:t>
      </w:r>
    </w:p>
    <w:p>
      <w:pPr>
        <w:pStyle w:val="ListBullet"/>
      </w:pPr>
      <w:r>
        <w:t>Process death and app upgrade during pending transfer.</w:t>
      </w:r>
    </w:p>
    <w:p>
      <w:pPr>
        <w:pStyle w:val="ListBullet"/>
      </w:pPr>
      <w:r>
        <w:t>Static analysis and dependency vulnerability scanning before each release.</w:t>
      </w:r>
    </w:p>
    <w:p>
      <w:pPr>
        <w:pStyle w:val="Heading1"/>
        <w:keepNext/>
      </w:pPr>
      <w:r>
        <w:t>8. Security release gate</w:t>
      </w:r>
    </w:p>
    <w:tbl>
      <w:tblPr>
        <w:tblW w:type="auto" w:w="0"/>
        <w:jc w:val="center"/>
        <w:tblLook w:firstColumn="1" w:firstRow="1" w:lastColumn="0" w:lastRow="0" w:noHBand="0" w:noVBand="1" w:val="04A0"/>
      </w:tblPr>
      <w:tblGrid>
        <w:gridCol w:w="9994"/>
      </w:tblGrid>
      <w:tr>
        <w:tc>
          <w:tcPr>
            <w:tcW w:type="dxa" w:w="9994"/>
            <w:shd w:fill="F4FFE6"/>
            <w:tcBorders>
              <w:left w:val="single" w:sz="18" w:color="BFFF00"/>
            </w:tcBorders>
          </w:tcPr>
          <w:p>
            <w:r>
              <w:rPr>
                <w:b/>
                <w:color w:val="171717"/>
              </w:rPr>
              <w:t>No release without verification</w:t>
              <w:br/>
            </w:r>
            <w:r>
              <w:t>The initial technical spike must prove peer verification, transfer integrity and interruption cleanup on multiple OEM devices before UI polish is treated as production work.</w:t>
            </w:r>
          </w:p>
        </w:tc>
      </w:tr>
    </w:tbl>
    <w:p>
      <w:r>
        <w:br w:type="page"/>
      </w:r>
    </w:p>
    <w:p>
      <w:pPr>
        <w:jc w:val="center"/>
      </w:pPr>
      <w:r>
        <w:rPr>
          <w:b/>
          <w:color w:val="171717"/>
          <w:sz w:val="36"/>
        </w:rPr>
        <w:t>06 Nod Privacy DPIA Data Governance and Retention</w:t>
      </w:r>
    </w:p>
    <w:tbl>
      <w:tblPr>
        <w:tblW w:type="auto" w:w="0"/>
        <w:tblLook w:firstColumn="1" w:firstRow="1" w:lastColumn="0" w:lastRow="0" w:noHBand="0" w:noVBand="1" w:val="04A0"/>
      </w:tblPr>
      <w:tblGrid>
        <w:gridCol w:w="9994"/>
      </w:tblGrid>
      <w:tr>
        <w:tc>
          <w:tcPr>
            <w:tcW w:type="dxa" w:w="9994"/>
            <w:shd w:fill="BFFF00"/>
          </w:tcPr>
          <w:p>
            <w:r/>
          </w:p>
        </w:tc>
      </w:tr>
    </w:tbl>
    <w:p>
      <w:pPr>
        <w:pStyle w:val="Heading1"/>
        <w:keepNext/>
      </w:pPr>
      <w:r>
        <w:t>1. Scope and legal framework</w:t>
      </w:r>
    </w:p>
    <w:p>
      <w:r>
        <w:t>This assessment is designed around the Nigeria Data Protection Act 2023 and the NDPC General Application and Implementation Directive (GAID) 2025, while also accounting for Google Play disclosure obligations. GAID 2025 took effect on 19 September 2025. Final controller/processor classification and registration obligations depend on the operator’s actual scale and processing activities and should be confirmed with a qualified DPCO/counsel.</w:t>
      </w:r>
    </w:p>
    <w:p>
      <w:pPr>
        <w:pStyle w:val="Heading1"/>
        <w:keepNext/>
      </w:pPr>
      <w:r>
        <w:t>2. Privacy architecture</w:t>
      </w:r>
    </w:p>
    <w:p>
      <w:pPr>
        <w:pStyle w:val="ListBullet"/>
      </w:pPr>
      <w:r>
        <w:t>No Nod account is required for v1.</w:t>
      </w:r>
    </w:p>
    <w:p>
      <w:pPr>
        <w:pStyle w:val="ListBullet"/>
      </w:pPr>
      <w:r>
        <w:t>No Nod-operated cloud content server is required for the core exchange path.</w:t>
      </w:r>
    </w:p>
    <w:p>
      <w:pPr>
        <w:pStyle w:val="ListBullet"/>
      </w:pPr>
      <w:r>
        <w:t>Nod Profile is stored locally on the user device.</w:t>
      </w:r>
    </w:p>
    <w:p>
      <w:pPr>
        <w:pStyle w:val="ListBullet"/>
      </w:pPr>
      <w:r>
        <w:t>Full profile/contact details are not broadcast during discovery.</w:t>
      </w:r>
    </w:p>
    <w:p>
      <w:pPr>
        <w:pStyle w:val="ListBullet"/>
      </w:pPr>
      <w:r>
        <w:t>Content is disclosed only after session verification and user selection/approval.</w:t>
      </w:r>
    </w:p>
    <w:p>
      <w:pPr>
        <w:pStyle w:val="ListBullet"/>
      </w:pPr>
      <w:r>
        <w:t>Transfer history retains minimal metadata rather than payload copies.</w:t>
      </w:r>
    </w:p>
    <w:p>
      <w:pPr>
        <w:pStyle w:val="ListBullet"/>
      </w:pPr>
      <w:r>
        <w:t>Optional SDK/platform diagnostics must be separately inventoried and disclosed based on actual release build behavior.</w:t>
      </w:r>
    </w:p>
    <w:p>
      <w:pPr>
        <w:pStyle w:val="Heading1"/>
        <w:keepNext/>
      </w:pPr>
      <w:r>
        <w:t>3. Processing inventory / ROPA baseline</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shd w:fill="171717"/>
          </w:tcPr>
          <w:p>
            <w:r>
              <w:rPr>
                <w:b/>
                <w:color w:val="FFFFFF"/>
                <w:sz w:val="17"/>
              </w:rPr>
              <w:t>Data</w:t>
            </w:r>
          </w:p>
        </w:tc>
        <w:tc>
          <w:tcPr>
            <w:tcW w:type="dxa" w:w="1999"/>
            <w:shd w:fill="171717"/>
          </w:tcPr>
          <w:p>
            <w:r>
              <w:rPr>
                <w:b/>
                <w:color w:val="FFFFFF"/>
                <w:sz w:val="17"/>
              </w:rPr>
              <w:t>Source</w:t>
            </w:r>
          </w:p>
        </w:tc>
        <w:tc>
          <w:tcPr>
            <w:tcW w:type="dxa" w:w="1999"/>
            <w:shd w:fill="171717"/>
          </w:tcPr>
          <w:p>
            <w:r>
              <w:rPr>
                <w:b/>
                <w:color w:val="FFFFFF"/>
                <w:sz w:val="17"/>
              </w:rPr>
              <w:t>Purpose</w:t>
            </w:r>
          </w:p>
        </w:tc>
        <w:tc>
          <w:tcPr>
            <w:tcW w:type="dxa" w:w="1999"/>
            <w:shd w:fill="171717"/>
          </w:tcPr>
          <w:p>
            <w:r>
              <w:rPr>
                <w:b/>
                <w:color w:val="FFFFFF"/>
                <w:sz w:val="17"/>
              </w:rPr>
              <w:t>Retention</w:t>
            </w:r>
          </w:p>
        </w:tc>
        <w:tc>
          <w:tcPr>
            <w:tcW w:type="dxa" w:w="1999"/>
            <w:shd w:fill="171717"/>
          </w:tcPr>
          <w:p>
            <w:r>
              <w:rPr>
                <w:b/>
                <w:color w:val="FFFFFF"/>
                <w:sz w:val="17"/>
              </w:rPr>
              <w:t>Recipient</w:t>
            </w:r>
          </w:p>
        </w:tc>
      </w:tr>
      <w:tr>
        <w:tc>
          <w:tcPr>
            <w:tcW w:type="dxa" w:w="1999"/>
          </w:tcPr>
          <w:p>
            <w:pPr>
              <w:spacing w:after="0"/>
            </w:pPr>
            <w:r>
              <w:rPr>
                <w:sz w:val="17"/>
              </w:rPr>
              <w:t>Nod Profile fields</w:t>
            </w:r>
          </w:p>
        </w:tc>
        <w:tc>
          <w:tcPr>
            <w:tcW w:type="dxa" w:w="1999"/>
          </w:tcPr>
          <w:p>
            <w:pPr>
              <w:spacing w:after="0"/>
            </w:pPr>
            <w:r>
              <w:rPr>
                <w:sz w:val="17"/>
              </w:rPr>
              <w:t>User enters/imports own contact details</w:t>
            </w:r>
          </w:p>
        </w:tc>
        <w:tc>
          <w:tcPr>
            <w:tcW w:type="dxa" w:w="1999"/>
          </w:tcPr>
          <w:p>
            <w:pPr>
              <w:spacing w:after="0"/>
            </w:pPr>
            <w:r>
              <w:rPr>
                <w:sz w:val="17"/>
              </w:rPr>
              <w:t>Provide reusable sharing identity</w:t>
            </w:r>
          </w:p>
        </w:tc>
        <w:tc>
          <w:tcPr>
            <w:tcW w:type="dxa" w:w="1999"/>
          </w:tcPr>
          <w:p>
            <w:pPr>
              <w:spacing w:after="0"/>
            </w:pPr>
            <w:r>
              <w:rPr>
                <w:sz w:val="17"/>
              </w:rPr>
              <w:t>Stored locally until user edits/deletes/uninstalls, subject to backup exclusions</w:t>
            </w:r>
          </w:p>
        </w:tc>
        <w:tc>
          <w:tcPr>
            <w:tcW w:type="dxa" w:w="1999"/>
          </w:tcPr>
          <w:p>
            <w:pPr>
              <w:spacing w:after="0"/>
            </w:pPr>
            <w:r>
              <w:rPr>
                <w:sz w:val="17"/>
              </w:rPr>
              <w:t>Local device only unless user chooses to share</w:t>
            </w:r>
          </w:p>
        </w:tc>
      </w:tr>
      <w:tr>
        <w:tc>
          <w:tcPr>
            <w:tcW w:type="dxa" w:w="1999"/>
            <w:shd w:fill="FAFAFA"/>
          </w:tcPr>
          <w:p>
            <w:pPr>
              <w:spacing w:after="0"/>
            </w:pPr>
            <w:r>
              <w:rPr>
                <w:sz w:val="17"/>
              </w:rPr>
              <w:t>Nearby alias / peer IDs</w:t>
            </w:r>
          </w:p>
        </w:tc>
        <w:tc>
          <w:tcPr>
            <w:tcW w:type="dxa" w:w="1999"/>
            <w:shd w:fill="FAFAFA"/>
          </w:tcPr>
          <w:p>
            <w:pPr>
              <w:spacing w:after="0"/>
            </w:pPr>
            <w:r>
              <w:rPr>
                <w:sz w:val="17"/>
              </w:rPr>
              <w:t>Generated/configured locally</w:t>
            </w:r>
          </w:p>
        </w:tc>
        <w:tc>
          <w:tcPr>
            <w:tcW w:type="dxa" w:w="1999"/>
            <w:shd w:fill="FAFAFA"/>
          </w:tcPr>
          <w:p>
            <w:pPr>
              <w:spacing w:after="0"/>
            </w:pPr>
            <w:r>
              <w:rPr>
                <w:sz w:val="17"/>
              </w:rPr>
              <w:t>Discovery and connection</w:t>
            </w:r>
          </w:p>
        </w:tc>
        <w:tc>
          <w:tcPr>
            <w:tcW w:type="dxa" w:w="1999"/>
            <w:shd w:fill="FAFAFA"/>
          </w:tcPr>
          <w:p>
            <w:pPr>
              <w:spacing w:after="0"/>
            </w:pPr>
            <w:r>
              <w:rPr>
                <w:sz w:val="17"/>
              </w:rPr>
              <w:t>Ephemeral/limited</w:t>
            </w:r>
          </w:p>
        </w:tc>
        <w:tc>
          <w:tcPr>
            <w:tcW w:type="dxa" w:w="1999"/>
            <w:shd w:fill="FAFAFA"/>
          </w:tcPr>
          <w:p>
            <w:pPr>
              <w:spacing w:after="0"/>
            </w:pPr>
            <w:r>
              <w:rPr>
                <w:sz w:val="17"/>
              </w:rPr>
              <w:t>Nearby peer devices; transport SDK as technically necessary</w:t>
            </w:r>
          </w:p>
        </w:tc>
      </w:tr>
      <w:tr>
        <w:tc>
          <w:tcPr>
            <w:tcW w:type="dxa" w:w="1999"/>
          </w:tcPr>
          <w:p>
            <w:pPr>
              <w:spacing w:after="0"/>
            </w:pPr>
            <w:r>
              <w:rPr>
                <w:sz w:val="17"/>
              </w:rPr>
              <w:t>Selected contact payload</w:t>
            </w:r>
          </w:p>
        </w:tc>
        <w:tc>
          <w:tcPr>
            <w:tcW w:type="dxa" w:w="1999"/>
          </w:tcPr>
          <w:p>
            <w:pPr>
              <w:spacing w:after="0"/>
            </w:pPr>
            <w:r>
              <w:rPr>
                <w:sz w:val="17"/>
              </w:rPr>
              <w:t>User-selected fields</w:t>
            </w:r>
          </w:p>
        </w:tc>
        <w:tc>
          <w:tcPr>
            <w:tcW w:type="dxa" w:w="1999"/>
          </w:tcPr>
          <w:p>
            <w:pPr>
              <w:spacing w:after="0"/>
            </w:pPr>
            <w:r>
              <w:rPr>
                <w:sz w:val="17"/>
              </w:rPr>
              <w:t>Peer-to-peer sharing</w:t>
            </w:r>
          </w:p>
        </w:tc>
        <w:tc>
          <w:tcPr>
            <w:tcW w:type="dxa" w:w="1999"/>
          </w:tcPr>
          <w:p>
            <w:pPr>
              <w:spacing w:after="0"/>
            </w:pPr>
            <w:r>
              <w:rPr>
                <w:sz w:val="17"/>
              </w:rPr>
              <w:t>Session/temp until delivered; no central retention</w:t>
            </w:r>
          </w:p>
        </w:tc>
        <w:tc>
          <w:tcPr>
            <w:tcW w:type="dxa" w:w="1999"/>
          </w:tcPr>
          <w:p>
            <w:pPr>
              <w:spacing w:after="0"/>
            </w:pPr>
            <w:r>
              <w:rPr>
                <w:sz w:val="17"/>
              </w:rPr>
              <w:t>Chosen receiving peer</w:t>
            </w:r>
          </w:p>
        </w:tc>
      </w:tr>
      <w:tr>
        <w:tc>
          <w:tcPr>
            <w:tcW w:type="dxa" w:w="1999"/>
            <w:shd w:fill="FAFAFA"/>
          </w:tcPr>
          <w:p>
            <w:pPr>
              <w:spacing w:after="0"/>
            </w:pPr>
            <w:r>
              <w:rPr>
                <w:sz w:val="17"/>
              </w:rPr>
              <w:t>Selected files</w:t>
            </w:r>
          </w:p>
        </w:tc>
        <w:tc>
          <w:tcPr>
            <w:tcW w:type="dxa" w:w="1999"/>
            <w:shd w:fill="FAFAFA"/>
          </w:tcPr>
          <w:p>
            <w:pPr>
              <w:spacing w:after="0"/>
            </w:pPr>
            <w:r>
              <w:rPr>
                <w:sz w:val="17"/>
              </w:rPr>
              <w:t>User-selected URIs</w:t>
            </w:r>
          </w:p>
        </w:tc>
        <w:tc>
          <w:tcPr>
            <w:tcW w:type="dxa" w:w="1999"/>
            <w:shd w:fill="FAFAFA"/>
          </w:tcPr>
          <w:p>
            <w:pPr>
              <w:spacing w:after="0"/>
            </w:pPr>
            <w:r>
              <w:rPr>
                <w:sz w:val="17"/>
              </w:rPr>
              <w:t>Peer-to-peer sharing</w:t>
            </w:r>
          </w:p>
        </w:tc>
        <w:tc>
          <w:tcPr>
            <w:tcW w:type="dxa" w:w="1999"/>
            <w:shd w:fill="FAFAFA"/>
          </w:tcPr>
          <w:p>
            <w:pPr>
              <w:spacing w:after="0"/>
            </w:pPr>
            <w:r>
              <w:rPr>
                <w:sz w:val="17"/>
              </w:rPr>
              <w:t>No Nod server retention; temporary receiver copy during transfer</w:t>
            </w:r>
          </w:p>
        </w:tc>
        <w:tc>
          <w:tcPr>
            <w:tcW w:type="dxa" w:w="1999"/>
            <w:shd w:fill="FAFAFA"/>
          </w:tcPr>
          <w:p>
            <w:pPr>
              <w:spacing w:after="0"/>
            </w:pPr>
            <w:r>
              <w:rPr>
                <w:sz w:val="17"/>
              </w:rPr>
              <w:t>Chosen receiving peer</w:t>
            </w:r>
          </w:p>
        </w:tc>
      </w:tr>
      <w:tr>
        <w:tc>
          <w:tcPr>
            <w:tcW w:type="dxa" w:w="1999"/>
          </w:tcPr>
          <w:p>
            <w:pPr>
              <w:spacing w:after="0"/>
            </w:pPr>
            <w:r>
              <w:rPr>
                <w:sz w:val="17"/>
              </w:rPr>
              <w:t>Camera frames / OCR text</w:t>
            </w:r>
          </w:p>
        </w:tc>
        <w:tc>
          <w:tcPr>
            <w:tcW w:type="dxa" w:w="1999"/>
          </w:tcPr>
          <w:p>
            <w:pPr>
              <w:spacing w:after="0"/>
            </w:pPr>
            <w:r>
              <w:rPr>
                <w:sz w:val="17"/>
              </w:rPr>
              <w:t>Camera during scanner use</w:t>
            </w:r>
          </w:p>
        </w:tc>
        <w:tc>
          <w:tcPr>
            <w:tcW w:type="dxa" w:w="1999"/>
          </w:tcPr>
          <w:p>
            <w:pPr>
              <w:spacing w:after="0"/>
            </w:pPr>
            <w:r>
              <w:rPr>
                <w:sz w:val="17"/>
              </w:rPr>
              <w:t>Recognize phone numbers</w:t>
            </w:r>
          </w:p>
        </w:tc>
        <w:tc>
          <w:tcPr>
            <w:tcW w:type="dxa" w:w="1999"/>
          </w:tcPr>
          <w:p>
            <w:pPr>
              <w:spacing w:after="0"/>
            </w:pPr>
            <w:r>
              <w:rPr>
                <w:sz w:val="17"/>
              </w:rPr>
              <w:t>Process transiently; do not retain unless user explicitly saves image elsewhere</w:t>
            </w:r>
          </w:p>
        </w:tc>
        <w:tc>
          <w:tcPr>
            <w:tcW w:type="dxa" w:w="1999"/>
          </w:tcPr>
          <w:p>
            <w:pPr>
              <w:spacing w:after="0"/>
            </w:pPr>
            <w:r>
              <w:rPr>
                <w:sz w:val="17"/>
              </w:rPr>
              <w:t>On-device OCR components; verify SDK behavior</w:t>
            </w:r>
          </w:p>
        </w:tc>
      </w:tr>
      <w:tr>
        <w:tc>
          <w:tcPr>
            <w:tcW w:type="dxa" w:w="1999"/>
            <w:shd w:fill="FAFAFA"/>
          </w:tcPr>
          <w:p>
            <w:pPr>
              <w:spacing w:after="0"/>
            </w:pPr>
            <w:r>
              <w:rPr>
                <w:sz w:val="17"/>
              </w:rPr>
              <w:t>Accelerometer events</w:t>
            </w:r>
          </w:p>
        </w:tc>
        <w:tc>
          <w:tcPr>
            <w:tcW w:type="dxa" w:w="1999"/>
            <w:shd w:fill="FAFAFA"/>
          </w:tcPr>
          <w:p>
            <w:pPr>
              <w:spacing w:after="0"/>
            </w:pPr>
            <w:r>
              <w:rPr>
                <w:sz w:val="17"/>
              </w:rPr>
              <w:t>Device sensor</w:t>
            </w:r>
          </w:p>
        </w:tc>
        <w:tc>
          <w:tcPr>
            <w:tcW w:type="dxa" w:w="1999"/>
            <w:shd w:fill="FAFAFA"/>
          </w:tcPr>
          <w:p>
            <w:pPr>
              <w:spacing w:after="0"/>
            </w:pPr>
            <w:r>
              <w:rPr>
                <w:sz w:val="17"/>
              </w:rPr>
              <w:t>Shake-to-Nod detection</w:t>
            </w:r>
          </w:p>
        </w:tc>
        <w:tc>
          <w:tcPr>
            <w:tcW w:type="dxa" w:w="1999"/>
            <w:shd w:fill="FAFAFA"/>
          </w:tcPr>
          <w:p>
            <w:pPr>
              <w:spacing w:after="0"/>
            </w:pPr>
            <w:r>
              <w:rPr>
                <w:sz w:val="17"/>
              </w:rPr>
              <w:t>Transient; not history</w:t>
            </w:r>
          </w:p>
        </w:tc>
        <w:tc>
          <w:tcPr>
            <w:tcW w:type="dxa" w:w="1999"/>
            <w:shd w:fill="FAFAFA"/>
          </w:tcPr>
          <w:p>
            <w:pPr>
              <w:spacing w:after="0"/>
            </w:pPr>
            <w:r>
              <w:rPr>
                <w:sz w:val="17"/>
              </w:rPr>
              <w:t>No intended external disclosure</w:t>
            </w:r>
          </w:p>
        </w:tc>
      </w:tr>
      <w:tr>
        <w:tc>
          <w:tcPr>
            <w:tcW w:type="dxa" w:w="1999"/>
          </w:tcPr>
          <w:p>
            <w:pPr>
              <w:spacing w:after="0"/>
            </w:pPr>
            <w:r>
              <w:rPr>
                <w:sz w:val="17"/>
              </w:rPr>
              <w:t>Transfer metadata</w:t>
            </w:r>
          </w:p>
        </w:tc>
        <w:tc>
          <w:tcPr>
            <w:tcW w:type="dxa" w:w="1999"/>
          </w:tcPr>
          <w:p>
            <w:pPr>
              <w:spacing w:after="0"/>
            </w:pPr>
            <w:r>
              <w:rPr>
                <w:sz w:val="17"/>
              </w:rPr>
              <w:t>Generated by app</w:t>
            </w:r>
          </w:p>
        </w:tc>
        <w:tc>
          <w:tcPr>
            <w:tcW w:type="dxa" w:w="1999"/>
          </w:tcPr>
          <w:p>
            <w:pPr>
              <w:spacing w:after="0"/>
            </w:pPr>
            <w:r>
              <w:rPr>
                <w:sz w:val="17"/>
              </w:rPr>
              <w:t>History/support</w:t>
            </w:r>
          </w:p>
        </w:tc>
        <w:tc>
          <w:tcPr>
            <w:tcW w:type="dxa" w:w="1999"/>
          </w:tcPr>
          <w:p>
            <w:pPr>
              <w:spacing w:after="0"/>
            </w:pPr>
            <w:r>
              <w:rPr>
                <w:sz w:val="17"/>
              </w:rPr>
              <w:t>User-controlled/local retention policy</w:t>
            </w:r>
          </w:p>
        </w:tc>
        <w:tc>
          <w:tcPr>
            <w:tcW w:type="dxa" w:w="1999"/>
          </w:tcPr>
          <w:p>
            <w:pPr>
              <w:spacing w:after="0"/>
            </w:pPr>
            <w:r>
              <w:rPr>
                <w:sz w:val="17"/>
              </w:rPr>
              <w:t>Local device</w:t>
            </w:r>
          </w:p>
        </w:tc>
      </w:tr>
      <w:tr>
        <w:tc>
          <w:tcPr>
            <w:tcW w:type="dxa" w:w="1999"/>
            <w:shd w:fill="FAFAFA"/>
          </w:tcPr>
          <w:p>
            <w:pPr>
              <w:spacing w:after="0"/>
            </w:pPr>
            <w:r>
              <w:rPr>
                <w:sz w:val="17"/>
              </w:rPr>
              <w:t>Diagnostics</w:t>
            </w:r>
          </w:p>
        </w:tc>
        <w:tc>
          <w:tcPr>
            <w:tcW w:type="dxa" w:w="1999"/>
            <w:shd w:fill="FAFAFA"/>
          </w:tcPr>
          <w:p>
            <w:pPr>
              <w:spacing w:after="0"/>
            </w:pPr>
            <w:r>
              <w:rPr>
                <w:sz w:val="17"/>
              </w:rPr>
              <w:t>Technical app events</w:t>
            </w:r>
          </w:p>
        </w:tc>
        <w:tc>
          <w:tcPr>
            <w:tcW w:type="dxa" w:w="1999"/>
            <w:shd w:fill="FAFAFA"/>
          </w:tcPr>
          <w:p>
            <w:pPr>
              <w:spacing w:after="0"/>
            </w:pPr>
            <w:r>
              <w:rPr>
                <w:sz w:val="17"/>
              </w:rPr>
              <w:t>Troubleshooting</w:t>
            </w:r>
          </w:p>
        </w:tc>
        <w:tc>
          <w:tcPr>
            <w:tcW w:type="dxa" w:w="1999"/>
            <w:shd w:fill="FAFAFA"/>
          </w:tcPr>
          <w:p>
            <w:pPr>
              <w:spacing w:after="0"/>
            </w:pPr>
            <w:r>
              <w:rPr>
                <w:sz w:val="17"/>
              </w:rPr>
              <w:t>Minimal and time-limited</w:t>
            </w:r>
          </w:p>
        </w:tc>
        <w:tc>
          <w:tcPr>
            <w:tcW w:type="dxa" w:w="1999"/>
            <w:shd w:fill="FAFAFA"/>
          </w:tcPr>
          <w:p>
            <w:pPr>
              <w:spacing w:after="0"/>
            </w:pPr>
            <w:r>
              <w:rPr>
                <w:sz w:val="17"/>
              </w:rPr>
              <w:t>Only if user explicitly exports, unless third-party SDK has separate diagnostics</w:t>
            </w:r>
          </w:p>
        </w:tc>
      </w:tr>
    </w:tbl>
    <w:p>
      <w:pPr>
        <w:pStyle w:val="Heading1"/>
        <w:keepNext/>
      </w:pPr>
      <w:r>
        <w:t>4. DPIA risk assessment</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shd w:fill="171717"/>
          </w:tcPr>
          <w:p>
            <w:r>
              <w:rPr>
                <w:b/>
                <w:color w:val="FFFFFF"/>
                <w:sz w:val="17"/>
              </w:rPr>
              <w:t>Risk</w:t>
            </w:r>
          </w:p>
        </w:tc>
        <w:tc>
          <w:tcPr>
            <w:tcW w:type="dxa" w:w="1999"/>
            <w:shd w:fill="171717"/>
          </w:tcPr>
          <w:p>
            <w:r>
              <w:rPr>
                <w:b/>
                <w:color w:val="FFFFFF"/>
                <w:sz w:val="17"/>
              </w:rPr>
              <w:t>Impact</w:t>
            </w:r>
          </w:p>
        </w:tc>
        <w:tc>
          <w:tcPr>
            <w:tcW w:type="dxa" w:w="1999"/>
            <w:shd w:fill="171717"/>
          </w:tcPr>
          <w:p>
            <w:r>
              <w:rPr>
                <w:b/>
                <w:color w:val="FFFFFF"/>
                <w:sz w:val="17"/>
              </w:rPr>
              <w:t>Likelihood before controls</w:t>
            </w:r>
          </w:p>
        </w:tc>
        <w:tc>
          <w:tcPr>
            <w:tcW w:type="dxa" w:w="1999"/>
            <w:shd w:fill="171717"/>
          </w:tcPr>
          <w:p>
            <w:r>
              <w:rPr>
                <w:b/>
                <w:color w:val="FFFFFF"/>
                <w:sz w:val="17"/>
              </w:rPr>
              <w:t>Controls</w:t>
            </w:r>
          </w:p>
        </w:tc>
        <w:tc>
          <w:tcPr>
            <w:tcW w:type="dxa" w:w="1999"/>
            <w:shd w:fill="171717"/>
          </w:tcPr>
          <w:p>
            <w:r>
              <w:rPr>
                <w:b/>
                <w:color w:val="FFFFFF"/>
                <w:sz w:val="17"/>
              </w:rPr>
              <w:t>Residual</w:t>
            </w:r>
          </w:p>
        </w:tc>
      </w:tr>
      <w:tr>
        <w:tc>
          <w:tcPr>
            <w:tcW w:type="dxa" w:w="1999"/>
          </w:tcPr>
          <w:p>
            <w:pPr>
              <w:spacing w:after="0"/>
            </w:pPr>
            <w:r>
              <w:rPr>
                <w:sz w:val="17"/>
              </w:rPr>
              <w:t>Unintended disclosure of phone/email</w:t>
            </w:r>
          </w:p>
        </w:tc>
        <w:tc>
          <w:tcPr>
            <w:tcW w:type="dxa" w:w="1999"/>
          </w:tcPr>
          <w:p>
            <w:pPr>
              <w:spacing w:after="0"/>
            </w:pPr>
            <w:r>
              <w:rPr>
                <w:sz w:val="17"/>
              </w:rPr>
              <w:t>High</w:t>
            </w:r>
          </w:p>
        </w:tc>
        <w:tc>
          <w:tcPr>
            <w:tcW w:type="dxa" w:w="1999"/>
          </w:tcPr>
          <w:p>
            <w:pPr>
              <w:spacing w:after="0"/>
            </w:pPr>
            <w:r>
              <w:rPr>
                <w:sz w:val="17"/>
              </w:rPr>
              <w:t>Medium</w:t>
            </w:r>
          </w:p>
        </w:tc>
        <w:tc>
          <w:tcPr>
            <w:tcW w:type="dxa" w:w="1999"/>
          </w:tcPr>
          <w:p>
            <w:pPr>
              <w:spacing w:after="0"/>
            </w:pPr>
            <w:r>
              <w:rPr>
                <w:sz w:val="17"/>
              </w:rPr>
              <w:t>Share profiles, field preview, explicit recipient and content consent</w:t>
            </w:r>
          </w:p>
        </w:tc>
        <w:tc>
          <w:tcPr>
            <w:tcW w:type="dxa" w:w="1999"/>
          </w:tcPr>
          <w:p>
            <w:pPr>
              <w:spacing w:after="0"/>
            </w:pPr>
            <w:r>
              <w:rPr>
                <w:sz w:val="17"/>
              </w:rPr>
              <w:t>Low-Medium</w:t>
            </w:r>
          </w:p>
        </w:tc>
      </w:tr>
      <w:tr>
        <w:tc>
          <w:tcPr>
            <w:tcW w:type="dxa" w:w="1999"/>
            <w:shd w:fill="FAFAFA"/>
          </w:tcPr>
          <w:p>
            <w:pPr>
              <w:spacing w:after="0"/>
            </w:pPr>
            <w:r>
              <w:rPr>
                <w:sz w:val="17"/>
              </w:rPr>
              <w:t>Nearby identity exposure</w:t>
            </w:r>
          </w:p>
        </w:tc>
        <w:tc>
          <w:tcPr>
            <w:tcW w:type="dxa" w:w="1999"/>
            <w:shd w:fill="FAFAFA"/>
          </w:tcPr>
          <w:p>
            <w:pPr>
              <w:spacing w:after="0"/>
            </w:pPr>
            <w:r>
              <w:rPr>
                <w:sz w:val="17"/>
              </w:rPr>
              <w:t>Medium</w:t>
            </w:r>
          </w:p>
        </w:tc>
        <w:tc>
          <w:tcPr>
            <w:tcW w:type="dxa" w:w="1999"/>
            <w:shd w:fill="FAFAFA"/>
          </w:tcPr>
          <w:p>
            <w:pPr>
              <w:spacing w:after="0"/>
            </w:pPr>
            <w:r>
              <w:rPr>
                <w:sz w:val="17"/>
              </w:rPr>
              <w:t>Medium</w:t>
            </w:r>
          </w:p>
        </w:tc>
        <w:tc>
          <w:tcPr>
            <w:tcW w:type="dxa" w:w="1999"/>
            <w:shd w:fill="FAFAFA"/>
          </w:tcPr>
          <w:p>
            <w:pPr>
              <w:spacing w:after="0"/>
            </w:pPr>
            <w:r>
              <w:rPr>
                <w:sz w:val="17"/>
              </w:rPr>
              <w:t>Alias only, time-limited visibility, no full profile broadcast</w:t>
            </w:r>
          </w:p>
        </w:tc>
        <w:tc>
          <w:tcPr>
            <w:tcW w:type="dxa" w:w="1999"/>
            <w:shd w:fill="FAFAFA"/>
          </w:tcPr>
          <w:p>
            <w:pPr>
              <w:spacing w:after="0"/>
            </w:pPr>
            <w:r>
              <w:rPr>
                <w:sz w:val="17"/>
              </w:rPr>
              <w:t>Low</w:t>
            </w:r>
          </w:p>
        </w:tc>
      </w:tr>
      <w:tr>
        <w:tc>
          <w:tcPr>
            <w:tcW w:type="dxa" w:w="1999"/>
          </w:tcPr>
          <w:p>
            <w:pPr>
              <w:spacing w:after="0"/>
            </w:pPr>
            <w:r>
              <w:rPr>
                <w:sz w:val="17"/>
              </w:rPr>
              <w:t>Unwanted transfer request</w:t>
            </w:r>
          </w:p>
        </w:tc>
        <w:tc>
          <w:tcPr>
            <w:tcW w:type="dxa" w:w="1999"/>
          </w:tcPr>
          <w:p>
            <w:pPr>
              <w:spacing w:after="0"/>
            </w:pPr>
            <w:r>
              <w:rPr>
                <w:sz w:val="17"/>
              </w:rPr>
              <w:t>Medium</w:t>
            </w:r>
          </w:p>
        </w:tc>
        <w:tc>
          <w:tcPr>
            <w:tcW w:type="dxa" w:w="1999"/>
          </w:tcPr>
          <w:p>
            <w:pPr>
              <w:spacing w:after="0"/>
            </w:pPr>
            <w:r>
              <w:rPr>
                <w:sz w:val="17"/>
              </w:rPr>
              <w:t>Medium-High</w:t>
            </w:r>
          </w:p>
        </w:tc>
        <w:tc>
          <w:tcPr>
            <w:tcW w:type="dxa" w:w="1999"/>
          </w:tcPr>
          <w:p>
            <w:pPr>
              <w:spacing w:after="0"/>
            </w:pPr>
            <w:r>
              <w:rPr>
                <w:sz w:val="17"/>
              </w:rPr>
              <w:t>Verification, decline, block, throttling, limited visibility</w:t>
            </w:r>
          </w:p>
        </w:tc>
        <w:tc>
          <w:tcPr>
            <w:tcW w:type="dxa" w:w="1999"/>
          </w:tcPr>
          <w:p>
            <w:pPr>
              <w:spacing w:after="0"/>
            </w:pPr>
            <w:r>
              <w:rPr>
                <w:sz w:val="17"/>
              </w:rPr>
              <w:t>Low-Medium</w:t>
            </w:r>
          </w:p>
        </w:tc>
      </w:tr>
      <w:tr>
        <w:tc>
          <w:tcPr>
            <w:tcW w:type="dxa" w:w="1999"/>
            <w:shd w:fill="FAFAFA"/>
          </w:tcPr>
          <w:p>
            <w:pPr>
              <w:spacing w:after="0"/>
            </w:pPr>
            <w:r>
              <w:rPr>
                <w:sz w:val="17"/>
              </w:rPr>
              <w:t>Cloud backup contradicts local-only promise</w:t>
            </w:r>
          </w:p>
        </w:tc>
        <w:tc>
          <w:tcPr>
            <w:tcW w:type="dxa" w:w="1999"/>
            <w:shd w:fill="FAFAFA"/>
          </w:tcPr>
          <w:p>
            <w:pPr>
              <w:spacing w:after="0"/>
            </w:pPr>
            <w:r>
              <w:rPr>
                <w:sz w:val="17"/>
              </w:rPr>
              <w:t>High</w:t>
            </w:r>
          </w:p>
        </w:tc>
        <w:tc>
          <w:tcPr>
            <w:tcW w:type="dxa" w:w="1999"/>
            <w:shd w:fill="FAFAFA"/>
          </w:tcPr>
          <w:p>
            <w:pPr>
              <w:spacing w:after="0"/>
            </w:pPr>
            <w:r>
              <w:rPr>
                <w:sz w:val="17"/>
              </w:rPr>
              <w:t>Medium</w:t>
            </w:r>
          </w:p>
        </w:tc>
        <w:tc>
          <w:tcPr>
            <w:tcW w:type="dxa" w:w="1999"/>
            <w:shd w:fill="FAFAFA"/>
          </w:tcPr>
          <w:p>
            <w:pPr>
              <w:spacing w:after="0"/>
            </w:pPr>
            <w:r>
              <w:rPr>
                <w:sz w:val="17"/>
              </w:rPr>
              <w:t>Explicit backup exclusions and release tests</w:t>
            </w:r>
          </w:p>
        </w:tc>
        <w:tc>
          <w:tcPr>
            <w:tcW w:type="dxa" w:w="1999"/>
            <w:shd w:fill="FAFAFA"/>
          </w:tcPr>
          <w:p>
            <w:pPr>
              <w:spacing w:after="0"/>
            </w:pPr>
            <w:r>
              <w:rPr>
                <w:sz w:val="17"/>
              </w:rPr>
              <w:t>Low</w:t>
            </w:r>
          </w:p>
        </w:tc>
      </w:tr>
      <w:tr>
        <w:tc>
          <w:tcPr>
            <w:tcW w:type="dxa" w:w="1999"/>
          </w:tcPr>
          <w:p>
            <w:pPr>
              <w:spacing w:after="0"/>
            </w:pPr>
            <w:r>
              <w:rPr>
                <w:sz w:val="17"/>
              </w:rPr>
              <w:t>Third-party SDK undisclosed processing</w:t>
            </w:r>
          </w:p>
        </w:tc>
        <w:tc>
          <w:tcPr>
            <w:tcW w:type="dxa" w:w="1999"/>
          </w:tcPr>
          <w:p>
            <w:pPr>
              <w:spacing w:after="0"/>
            </w:pPr>
            <w:r>
              <w:rPr>
                <w:sz w:val="17"/>
              </w:rPr>
              <w:t>High</w:t>
            </w:r>
          </w:p>
        </w:tc>
        <w:tc>
          <w:tcPr>
            <w:tcW w:type="dxa" w:w="1999"/>
          </w:tcPr>
          <w:p>
            <w:pPr>
              <w:spacing w:after="0"/>
            </w:pPr>
            <w:r>
              <w:rPr>
                <w:sz w:val="17"/>
              </w:rPr>
              <w:t>Medium</w:t>
            </w:r>
          </w:p>
        </w:tc>
        <w:tc>
          <w:tcPr>
            <w:tcW w:type="dxa" w:w="1999"/>
          </w:tcPr>
          <w:p>
            <w:pPr>
              <w:spacing w:after="0"/>
            </w:pPr>
            <w:r>
              <w:rPr>
                <w:sz w:val="17"/>
              </w:rPr>
              <w:t>SDK register, Data Safety audit, no optional analytics by default</w:t>
            </w:r>
          </w:p>
        </w:tc>
        <w:tc>
          <w:tcPr>
            <w:tcW w:type="dxa" w:w="1999"/>
          </w:tcPr>
          <w:p>
            <w:pPr>
              <w:spacing w:after="0"/>
            </w:pPr>
            <w:r>
              <w:rPr>
                <w:sz w:val="17"/>
              </w:rPr>
              <w:t>Low-Medium</w:t>
            </w:r>
          </w:p>
        </w:tc>
      </w:tr>
      <w:tr>
        <w:tc>
          <w:tcPr>
            <w:tcW w:type="dxa" w:w="1999"/>
            <w:shd w:fill="FAFAFA"/>
          </w:tcPr>
          <w:p>
            <w:pPr>
              <w:spacing w:after="0"/>
            </w:pPr>
            <w:r>
              <w:rPr>
                <w:sz w:val="17"/>
              </w:rPr>
              <w:t>Received malicious file opened</w:t>
            </w:r>
          </w:p>
        </w:tc>
        <w:tc>
          <w:tcPr>
            <w:tcW w:type="dxa" w:w="1999"/>
            <w:shd w:fill="FAFAFA"/>
          </w:tcPr>
          <w:p>
            <w:pPr>
              <w:spacing w:after="0"/>
            </w:pPr>
            <w:r>
              <w:rPr>
                <w:sz w:val="17"/>
              </w:rPr>
              <w:t>Medium-High</w:t>
            </w:r>
          </w:p>
        </w:tc>
        <w:tc>
          <w:tcPr>
            <w:tcW w:type="dxa" w:w="1999"/>
            <w:shd w:fill="FAFAFA"/>
          </w:tcPr>
          <w:p>
            <w:pPr>
              <w:spacing w:after="0"/>
            </w:pPr>
            <w:r>
              <w:rPr>
                <w:sz w:val="17"/>
              </w:rPr>
              <w:t>Medium</w:t>
            </w:r>
          </w:p>
        </w:tc>
        <w:tc>
          <w:tcPr>
            <w:tcW w:type="dxa" w:w="1999"/>
            <w:shd w:fill="FAFAFA"/>
          </w:tcPr>
          <w:p>
            <w:pPr>
              <w:spacing w:after="0"/>
            </w:pPr>
            <w:r>
              <w:rPr>
                <w:sz w:val="17"/>
              </w:rPr>
              <w:t>No auto-execute, safe intents, MIME checks and user action</w:t>
            </w:r>
          </w:p>
        </w:tc>
        <w:tc>
          <w:tcPr>
            <w:tcW w:type="dxa" w:w="1999"/>
            <w:shd w:fill="FAFAFA"/>
          </w:tcPr>
          <w:p>
            <w:pPr>
              <w:spacing w:after="0"/>
            </w:pPr>
            <w:r>
              <w:rPr>
                <w:sz w:val="17"/>
              </w:rPr>
              <w:t>Low-Medium</w:t>
            </w:r>
          </w:p>
        </w:tc>
      </w:tr>
    </w:tbl>
    <w:p>
      <w:pPr>
        <w:pStyle w:val="Heading1"/>
        <w:keepNext/>
      </w:pPr>
      <w:r>
        <w:t>5. Data subject/user controls</w:t>
      </w:r>
    </w:p>
    <w:p>
      <w:pPr>
        <w:pStyle w:val="ListBullet"/>
      </w:pPr>
      <w:r>
        <w:t>Edit/delete Nod Profile.</w:t>
      </w:r>
    </w:p>
    <w:p>
      <w:pPr>
        <w:pStyle w:val="ListBullet"/>
      </w:pPr>
      <w:r>
        <w:t>Choose fields for each share.</w:t>
      </w:r>
    </w:p>
    <w:p>
      <w:pPr>
        <w:pStyle w:val="ListBullet"/>
      </w:pPr>
      <w:r>
        <w:t>Decline any connection or payload.</w:t>
      </w:r>
    </w:p>
    <w:p>
      <w:pPr>
        <w:pStyle w:val="ListBullet"/>
      </w:pPr>
      <w:r>
        <w:t>Clear transfer history.</w:t>
      </w:r>
    </w:p>
    <w:p>
      <w:pPr>
        <w:pStyle w:val="ListBullet"/>
      </w:pPr>
      <w:r>
        <w:t>Block peers.</w:t>
      </w:r>
    </w:p>
    <w:p>
      <w:pPr>
        <w:pStyle w:val="ListBullet"/>
      </w:pPr>
      <w:r>
        <w:t>Disable Always Ready/Shake to Nod.</w:t>
      </w:r>
    </w:p>
    <w:p>
      <w:pPr>
        <w:pStyle w:val="ListBullet"/>
      </w:pPr>
      <w:r>
        <w:t>Revoke Android permissions through system settings.</w:t>
      </w:r>
    </w:p>
    <w:p>
      <w:pPr>
        <w:pStyle w:val="ListBullet"/>
      </w:pPr>
      <w:r>
        <w:t>Uninstall app to remove app-local data, subject to platform backup/device-transfer behavior configured by Nod.</w:t>
      </w:r>
    </w:p>
    <w:p>
      <w:pPr>
        <w:pStyle w:val="Heading1"/>
        <w:keepNext/>
      </w:pPr>
      <w:r>
        <w:t>6. Retention policy</w:t>
      </w:r>
    </w:p>
    <w:tbl>
      <w:tblPr>
        <w:tblStyle w:val="TableGrid"/>
        <w:tblW w:type="auto" w:w="0"/>
        <w:jc w:val="center"/>
        <w:tblLook w:firstColumn="1" w:firstRow="1" w:lastColumn="0" w:lastRow="0" w:noHBand="0" w:noVBand="1" w:val="04A0"/>
      </w:tblPr>
      <w:tblGrid>
        <w:gridCol w:w="4997"/>
        <w:gridCol w:w="4997"/>
      </w:tblGrid>
      <w:tr>
        <w:tc>
          <w:tcPr>
            <w:tcW w:type="dxa" w:w="4997"/>
            <w:shd w:fill="171717"/>
          </w:tcPr>
          <w:p>
            <w:r>
              <w:rPr>
                <w:b/>
                <w:color w:val="FFFFFF"/>
                <w:sz w:val="17"/>
              </w:rPr>
              <w:t>Category</w:t>
            </w:r>
          </w:p>
        </w:tc>
        <w:tc>
          <w:tcPr>
            <w:tcW w:type="dxa" w:w="4997"/>
            <w:shd w:fill="171717"/>
          </w:tcPr>
          <w:p>
            <w:r>
              <w:rPr>
                <w:b/>
                <w:color w:val="FFFFFF"/>
                <w:sz w:val="17"/>
              </w:rPr>
              <w:t>Default retention</w:t>
            </w:r>
          </w:p>
        </w:tc>
      </w:tr>
      <w:tr>
        <w:tc>
          <w:tcPr>
            <w:tcW w:type="dxa" w:w="4997"/>
          </w:tcPr>
          <w:p>
            <w:pPr>
              <w:spacing w:after="0"/>
            </w:pPr>
            <w:r>
              <w:rPr>
                <w:sz w:val="17"/>
              </w:rPr>
              <w:t>Nod Profile</w:t>
            </w:r>
          </w:p>
        </w:tc>
        <w:tc>
          <w:tcPr>
            <w:tcW w:type="dxa" w:w="4997"/>
          </w:tcPr>
          <w:p>
            <w:pPr>
              <w:spacing w:after="0"/>
            </w:pPr>
            <w:r>
              <w:rPr>
                <w:sz w:val="17"/>
              </w:rPr>
              <w:t>Until user deletes/edits or app is uninstalled.</w:t>
            </w:r>
          </w:p>
        </w:tc>
      </w:tr>
      <w:tr>
        <w:tc>
          <w:tcPr>
            <w:tcW w:type="dxa" w:w="4997"/>
            <w:shd w:fill="FAFAFA"/>
          </w:tcPr>
          <w:p>
            <w:pPr>
              <w:spacing w:after="0"/>
            </w:pPr>
            <w:r>
              <w:rPr>
                <w:sz w:val="17"/>
              </w:rPr>
              <w:t>Share Profiles</w:t>
            </w:r>
          </w:p>
        </w:tc>
        <w:tc>
          <w:tcPr>
            <w:tcW w:type="dxa" w:w="4997"/>
            <w:shd w:fill="FAFAFA"/>
          </w:tcPr>
          <w:p>
            <w:pPr>
              <w:spacing w:after="0"/>
            </w:pPr>
            <w:r>
              <w:rPr>
                <w:sz w:val="17"/>
              </w:rPr>
              <w:t>Until user deletes/edits.</w:t>
            </w:r>
          </w:p>
        </w:tc>
      </w:tr>
      <w:tr>
        <w:tc>
          <w:tcPr>
            <w:tcW w:type="dxa" w:w="4997"/>
          </w:tcPr>
          <w:p>
            <w:pPr>
              <w:spacing w:after="0"/>
            </w:pPr>
            <w:r>
              <w:rPr>
                <w:sz w:val="17"/>
              </w:rPr>
              <w:t>Pending received contact</w:t>
            </w:r>
          </w:p>
        </w:tc>
        <w:tc>
          <w:tcPr>
            <w:tcW w:type="dxa" w:w="4997"/>
          </w:tcPr>
          <w:p>
            <w:pPr>
              <w:spacing w:after="0"/>
            </w:pPr>
            <w:r>
              <w:rPr>
                <w:sz w:val="17"/>
              </w:rPr>
              <w:t>Session only unless user saves it.</w:t>
            </w:r>
          </w:p>
        </w:tc>
      </w:tr>
      <w:tr>
        <w:tc>
          <w:tcPr>
            <w:tcW w:type="dxa" w:w="4997"/>
            <w:shd w:fill="FAFAFA"/>
          </w:tcPr>
          <w:p>
            <w:pPr>
              <w:spacing w:after="0"/>
            </w:pPr>
            <w:r>
              <w:rPr>
                <w:sz w:val="17"/>
              </w:rPr>
              <w:t>Incomplete file</w:t>
            </w:r>
          </w:p>
        </w:tc>
        <w:tc>
          <w:tcPr>
            <w:tcW w:type="dxa" w:w="4997"/>
            <w:shd w:fill="FAFAFA"/>
          </w:tcPr>
          <w:p>
            <w:pPr>
              <w:spacing w:after="0"/>
            </w:pPr>
            <w:r>
              <w:rPr>
                <w:sz w:val="17"/>
              </w:rPr>
              <w:t>Until transfer terminates; cleanup immediately or on next maintenance pass.</w:t>
            </w:r>
          </w:p>
        </w:tc>
      </w:tr>
      <w:tr>
        <w:tc>
          <w:tcPr>
            <w:tcW w:type="dxa" w:w="4997"/>
          </w:tcPr>
          <w:p>
            <w:pPr>
              <w:spacing w:after="0"/>
            </w:pPr>
            <w:r>
              <w:rPr>
                <w:sz w:val="17"/>
              </w:rPr>
              <w:t>Transfer history</w:t>
            </w:r>
          </w:p>
        </w:tc>
        <w:tc>
          <w:tcPr>
            <w:tcW w:type="dxa" w:w="4997"/>
          </w:tcPr>
          <w:p>
            <w:pPr>
              <w:spacing w:after="0"/>
            </w:pPr>
            <w:r>
              <w:rPr>
                <w:sz w:val="17"/>
              </w:rPr>
              <w:t>Local until user clears; product may define a default rolling period before release.</w:t>
            </w:r>
          </w:p>
        </w:tc>
      </w:tr>
      <w:tr>
        <w:tc>
          <w:tcPr>
            <w:tcW w:type="dxa" w:w="4997"/>
            <w:shd w:fill="FAFAFA"/>
          </w:tcPr>
          <w:p>
            <w:pPr>
              <w:spacing w:after="0"/>
            </w:pPr>
            <w:r>
              <w:rPr>
                <w:sz w:val="17"/>
              </w:rPr>
              <w:t>Blocklist</w:t>
            </w:r>
          </w:p>
        </w:tc>
        <w:tc>
          <w:tcPr>
            <w:tcW w:type="dxa" w:w="4997"/>
            <w:shd w:fill="FAFAFA"/>
          </w:tcPr>
          <w:p>
            <w:pPr>
              <w:spacing w:after="0"/>
            </w:pPr>
            <w:r>
              <w:rPr>
                <w:sz w:val="17"/>
              </w:rPr>
              <w:t>Until user unblocks or clears app data.</w:t>
            </w:r>
          </w:p>
        </w:tc>
      </w:tr>
      <w:tr>
        <w:tc>
          <w:tcPr>
            <w:tcW w:type="dxa" w:w="4997"/>
          </w:tcPr>
          <w:p>
            <w:pPr>
              <w:spacing w:after="0"/>
            </w:pPr>
            <w:r>
              <w:rPr>
                <w:sz w:val="17"/>
              </w:rPr>
              <w:t>Diagnostics</w:t>
            </w:r>
          </w:p>
        </w:tc>
        <w:tc>
          <w:tcPr>
            <w:tcW w:type="dxa" w:w="4997"/>
          </w:tcPr>
          <w:p>
            <w:pPr>
              <w:spacing w:after="0"/>
            </w:pPr>
            <w:r>
              <w:rPr>
                <w:sz w:val="17"/>
              </w:rPr>
              <w:t>No central diagnostics by default; exported support package generated only by explicit user action.</w:t>
            </w:r>
          </w:p>
        </w:tc>
      </w:tr>
    </w:tbl>
    <w:p>
      <w:pPr>
        <w:pStyle w:val="Heading1"/>
        <w:keepNext/>
      </w:pPr>
      <w:r>
        <w:t>7. Compliance actions before launch</w:t>
      </w:r>
    </w:p>
    <w:p>
      <w:pPr>
        <w:pStyle w:val="ListBullet"/>
      </w:pPr>
      <w:r>
        <w:t>Determine operator role and whether NDPC registration/CAR obligations apply at actual processing scale.</w:t>
      </w:r>
    </w:p>
    <w:p>
      <w:pPr>
        <w:pStyle w:val="ListBullet"/>
      </w:pPr>
      <w:r>
        <w:t>Complete DPIA with final release build and SDK inventory.</w:t>
      </w:r>
    </w:p>
    <w:p>
      <w:pPr>
        <w:pStyle w:val="ListBullet"/>
      </w:pPr>
      <w:r>
        <w:t>Publish Privacy Policy at stable URL and in-app.</w:t>
      </w:r>
    </w:p>
    <w:p>
      <w:pPr>
        <w:pStyle w:val="ListBullet"/>
      </w:pPr>
      <w:r>
        <w:t>Complete Play Data Safety section accurately and keep synchronized with code and SDK changes.</w:t>
      </w:r>
    </w:p>
    <w:p>
      <w:pPr>
        <w:pStyle w:val="ListBullet"/>
      </w:pPr>
      <w:r>
        <w:t>Document lawful basis/consent mechanics with Nigerian counsel where personal data is processed by the operator rather than solely on device.</w:t>
      </w:r>
    </w:p>
    <w:p>
      <w:pPr>
        <w:pStyle w:val="Heading1"/>
        <w:keepNext/>
      </w:pPr>
      <w:r>
        <w:t>Authoritative references</w:t>
      </w:r>
    </w:p>
    <w:p>
      <w:r>
        <w:t>These links are included for implementation and legal review. Requirements can change; verify them again immediately before release.</w:t>
      </w:r>
    </w:p>
    <w:p>
      <w:pPr>
        <w:pStyle w:val="ListBullet"/>
      </w:pPr>
      <w:r>
        <w:rPr>
          <w:b/>
        </w:rPr>
        <w:t xml:space="preserve">Nigeria Data Protection Act 2023: </w:t>
      </w:r>
      <w:r>
        <w:t>https://ndpc.gov.ng/download/nigeria-data-protection-act-2023</w:t>
      </w:r>
    </w:p>
    <w:p>
      <w:pPr>
        <w:pStyle w:val="ListBullet"/>
      </w:pPr>
      <w:r>
        <w:rPr>
          <w:b/>
        </w:rPr>
        <w:t xml:space="preserve">NDP Act General Application and Implementation Directive (GAID) 2025: </w:t>
      </w:r>
      <w:r>
        <w:t>https://ndpc.gov.ng/wp-content/uploads/2025/07/NDP-ACT-GAID-2025-MARCH-20TH.pdf</w:t>
      </w:r>
    </w:p>
    <w:p>
      <w:pPr>
        <w:pStyle w:val="ListBullet"/>
      </w:pPr>
      <w:r>
        <w:rPr>
          <w:b/>
        </w:rPr>
        <w:t xml:space="preserve">Nigeria Data Protection Commission resources: </w:t>
      </w:r>
      <w:r>
        <w:t>https://ndpc.gov.ng/resources/</w:t>
      </w:r>
    </w:p>
    <w:p>
      <w:pPr>
        <w:pStyle w:val="ListBullet"/>
      </w:pPr>
      <w:r>
        <w:rPr>
          <w:b/>
        </w:rPr>
        <w:t xml:space="preserve">Copyright Act 2022 - Nigerian Copyright Commission: </w:t>
      </w:r>
      <w:r>
        <w:t>https://www.copyright.gov.ng/CopyrightAct/</w:t>
      </w:r>
    </w:p>
    <w:p>
      <w:pPr>
        <w:pStyle w:val="ListBullet"/>
      </w:pPr>
      <w:r>
        <w:rPr>
          <w:b/>
        </w:rPr>
        <w:t xml:space="preserve">Nigerian Copyright eRegistration System: </w:t>
      </w:r>
      <w:r>
        <w:t>https://eregistration.copyright.gov.ng/</w:t>
      </w:r>
    </w:p>
    <w:p>
      <w:pPr>
        <w:pStyle w:val="ListBullet"/>
      </w:pPr>
      <w:r>
        <w:rPr>
          <w:b/>
        </w:rPr>
        <w:t xml:space="preserve">Google Play - User Data policy: </w:t>
      </w:r>
      <w:r>
        <w:t>https://support.google.com/googleplay/android-developer/answer/10144311</w:t>
      </w:r>
    </w:p>
    <w:p>
      <w:pPr>
        <w:pStyle w:val="ListBullet"/>
      </w:pPr>
      <w:r>
        <w:rPr>
          <w:b/>
        </w:rPr>
        <w:t xml:space="preserve">Google Play - Prepare your app for review: </w:t>
      </w:r>
      <w:r>
        <w:t>https://support.google.com/googleplay/android-developer/answer/9859455</w:t>
      </w:r>
    </w:p>
    <w:p>
      <w:pPr>
        <w:pStyle w:val="ListBullet"/>
      </w:pPr>
      <w:r>
        <w:rPr>
          <w:b/>
        </w:rPr>
        <w:t xml:space="preserve">Google Play - Target API requirements: </w:t>
      </w:r>
      <w:r>
        <w:t>https://support.google.com/googleplay/android-developer/answer/11926878</w:t>
      </w:r>
    </w:p>
    <w:p>
      <w:pPr>
        <w:pStyle w:val="ListBullet"/>
      </w:pPr>
      <w:r>
        <w:rPr>
          <w:b/>
        </w:rPr>
        <w:t xml:space="preserve">Google Play - Foreground service requirements: </w:t>
      </w:r>
      <w:r>
        <w:t>https://support.google.com/googleplay/android-developer/answer/13392821</w:t>
      </w:r>
    </w:p>
    <w:p>
      <w:r>
        <w:br w:type="page"/>
      </w:r>
    </w:p>
    <w:p>
      <w:pPr>
        <w:jc w:val="center"/>
      </w:pPr>
      <w:r>
        <w:rPr>
          <w:b/>
          <w:color w:val="171717"/>
          <w:sz w:val="36"/>
        </w:rPr>
        <w:t>07 Nod Permissions Background QuickNod Android Compliance</w:t>
      </w:r>
    </w:p>
    <w:tbl>
      <w:tblPr>
        <w:tblW w:type="auto" w:w="0"/>
        <w:tblLook w:firstColumn="1" w:firstRow="1" w:lastColumn="0" w:lastRow="0" w:noHBand="0" w:noVBand="1" w:val="04A0"/>
      </w:tblPr>
      <w:tblGrid>
        <w:gridCol w:w="9994"/>
      </w:tblGrid>
      <w:tr>
        <w:tc>
          <w:tcPr>
            <w:tcW w:type="dxa" w:w="9994"/>
            <w:shd w:fill="BFFF00"/>
          </w:tcPr>
          <w:p>
            <w:r/>
          </w:p>
        </w:tc>
      </w:tr>
    </w:tbl>
    <w:p>
      <w:pPr>
        <w:pStyle w:val="Heading1"/>
        <w:keepNext/>
      </w:pPr>
      <w:r>
        <w:t>1. Principle</w:t>
      </w:r>
    </w:p>
    <w:p>
      <w:r>
        <w:t>Nod shall request the minimum permission at the point a user invokes a feature. Permission denial must not disable unrelated features.</w:t>
      </w:r>
    </w:p>
    <w:p>
      <w:pPr>
        <w:pStyle w:val="Heading1"/>
        <w:keepNext/>
      </w:pPr>
      <w:r>
        <w:t>2. Capability matrix</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171717"/>
          </w:tcPr>
          <w:p>
            <w:r>
              <w:rPr>
                <w:b/>
                <w:color w:val="FFFFFF"/>
                <w:sz w:val="17"/>
              </w:rPr>
              <w:t>Feature</w:t>
            </w:r>
          </w:p>
        </w:tc>
        <w:tc>
          <w:tcPr>
            <w:tcW w:type="dxa" w:w="2498"/>
            <w:shd w:fill="171717"/>
          </w:tcPr>
          <w:p>
            <w:r>
              <w:rPr>
                <w:b/>
                <w:color w:val="FFFFFF"/>
                <w:sz w:val="17"/>
              </w:rPr>
              <w:t>Android capability / permission</w:t>
            </w:r>
          </w:p>
        </w:tc>
        <w:tc>
          <w:tcPr>
            <w:tcW w:type="dxa" w:w="2498"/>
            <w:shd w:fill="171717"/>
          </w:tcPr>
          <w:p>
            <w:r>
              <w:rPr>
                <w:b/>
                <w:color w:val="FFFFFF"/>
                <w:sz w:val="17"/>
              </w:rPr>
              <w:t>When requested</w:t>
            </w:r>
          </w:p>
        </w:tc>
        <w:tc>
          <w:tcPr>
            <w:tcW w:type="dxa" w:w="2498"/>
            <w:shd w:fill="171717"/>
          </w:tcPr>
          <w:p>
            <w:r>
              <w:rPr>
                <w:b/>
                <w:color w:val="FFFFFF"/>
                <w:sz w:val="17"/>
              </w:rPr>
              <w:t>Fallback</w:t>
            </w:r>
          </w:p>
        </w:tc>
      </w:tr>
      <w:tr>
        <w:tc>
          <w:tcPr>
            <w:tcW w:type="dxa" w:w="2498"/>
          </w:tcPr>
          <w:p>
            <w:pPr>
              <w:spacing w:after="0"/>
            </w:pPr>
            <w:r>
              <w:rPr>
                <w:sz w:val="17"/>
              </w:rPr>
              <w:t>Nearby discovery/connection</w:t>
            </w:r>
          </w:p>
        </w:tc>
        <w:tc>
          <w:tcPr>
            <w:tcW w:type="dxa" w:w="2498"/>
          </w:tcPr>
          <w:p>
            <w:pPr>
              <w:spacing w:after="0"/>
            </w:pPr>
            <w:r>
              <w:rPr>
                <w:sz w:val="17"/>
              </w:rPr>
              <w:t>Nearby/Bluetooth/Wi-Fi/location permissions depending on Android version and transport API</w:t>
            </w:r>
          </w:p>
        </w:tc>
        <w:tc>
          <w:tcPr>
            <w:tcW w:type="dxa" w:w="2498"/>
          </w:tcPr>
          <w:p>
            <w:pPr>
              <w:spacing w:after="0"/>
            </w:pPr>
            <w:r>
              <w:rPr>
                <w:sz w:val="17"/>
              </w:rPr>
              <w:t>First use of nearby exchange</w:t>
            </w:r>
          </w:p>
        </w:tc>
        <w:tc>
          <w:tcPr>
            <w:tcW w:type="dxa" w:w="2498"/>
          </w:tcPr>
          <w:p>
            <w:pPr>
              <w:spacing w:after="0"/>
            </w:pPr>
            <w:r>
              <w:rPr>
                <w:sz w:val="17"/>
              </w:rPr>
              <w:t>Explain missing capability; user can still use profile/history/scanner as applicable.</w:t>
            </w:r>
          </w:p>
        </w:tc>
      </w:tr>
      <w:tr>
        <w:tc>
          <w:tcPr>
            <w:tcW w:type="dxa" w:w="2498"/>
            <w:shd w:fill="FAFAFA"/>
          </w:tcPr>
          <w:p>
            <w:pPr>
              <w:spacing w:after="0"/>
            </w:pPr>
            <w:r>
              <w:rPr>
                <w:sz w:val="17"/>
              </w:rPr>
              <w:t>Import own contact</w:t>
            </w:r>
          </w:p>
        </w:tc>
        <w:tc>
          <w:tcPr>
            <w:tcW w:type="dxa" w:w="2498"/>
            <w:shd w:fill="FAFAFA"/>
          </w:tcPr>
          <w:p>
            <w:pPr>
              <w:spacing w:after="0"/>
            </w:pPr>
            <w:r>
              <w:rPr>
                <w:sz w:val="17"/>
              </w:rPr>
              <w:t>Contact picker or Contacts access if necessary</w:t>
            </w:r>
          </w:p>
        </w:tc>
        <w:tc>
          <w:tcPr>
            <w:tcW w:type="dxa" w:w="2498"/>
            <w:shd w:fill="FAFAFA"/>
          </w:tcPr>
          <w:p>
            <w:pPr>
              <w:spacing w:after="0"/>
            </w:pPr>
            <w:r>
              <w:rPr>
                <w:sz w:val="17"/>
              </w:rPr>
              <w:t>When user chooses Import</w:t>
            </w:r>
          </w:p>
        </w:tc>
        <w:tc>
          <w:tcPr>
            <w:tcW w:type="dxa" w:w="2498"/>
            <w:shd w:fill="FAFAFA"/>
          </w:tcPr>
          <w:p>
            <w:pPr>
              <w:spacing w:after="0"/>
            </w:pPr>
            <w:r>
              <w:rPr>
                <w:sz w:val="17"/>
              </w:rPr>
              <w:t>Manual profile entry.</w:t>
            </w:r>
          </w:p>
        </w:tc>
      </w:tr>
      <w:tr>
        <w:tc>
          <w:tcPr>
            <w:tcW w:type="dxa" w:w="2498"/>
          </w:tcPr>
          <w:p>
            <w:pPr>
              <w:spacing w:after="0"/>
            </w:pPr>
            <w:r>
              <w:rPr>
                <w:sz w:val="17"/>
              </w:rPr>
              <w:t>Save received contact</w:t>
            </w:r>
          </w:p>
        </w:tc>
        <w:tc>
          <w:tcPr>
            <w:tcW w:type="dxa" w:w="2498"/>
          </w:tcPr>
          <w:p>
            <w:pPr>
              <w:spacing w:after="0"/>
            </w:pPr>
            <w:r>
              <w:rPr>
                <w:sz w:val="17"/>
              </w:rPr>
              <w:t>System contact insert flow / permission if required by chosen implementation</w:t>
            </w:r>
          </w:p>
        </w:tc>
        <w:tc>
          <w:tcPr>
            <w:tcW w:type="dxa" w:w="2498"/>
          </w:tcPr>
          <w:p>
            <w:pPr>
              <w:spacing w:after="0"/>
            </w:pPr>
            <w:r>
              <w:rPr>
                <w:sz w:val="17"/>
              </w:rPr>
              <w:t>When user taps Save to Contacts</w:t>
            </w:r>
          </w:p>
        </w:tc>
        <w:tc>
          <w:tcPr>
            <w:tcW w:type="dxa" w:w="2498"/>
          </w:tcPr>
          <w:p>
            <w:pPr>
              <w:spacing w:after="0"/>
            </w:pPr>
            <w:r>
              <w:rPr>
                <w:sz w:val="17"/>
              </w:rPr>
              <w:t>Keep preview; copy fields manually.</w:t>
            </w:r>
          </w:p>
        </w:tc>
      </w:tr>
      <w:tr>
        <w:tc>
          <w:tcPr>
            <w:tcW w:type="dxa" w:w="2498"/>
            <w:shd w:fill="FAFAFA"/>
          </w:tcPr>
          <w:p>
            <w:pPr>
              <w:spacing w:after="0"/>
            </w:pPr>
            <w:r>
              <w:rPr>
                <w:sz w:val="17"/>
              </w:rPr>
              <w:t>Select photos/videos</w:t>
            </w:r>
          </w:p>
        </w:tc>
        <w:tc>
          <w:tcPr>
            <w:tcW w:type="dxa" w:w="2498"/>
            <w:shd w:fill="FAFAFA"/>
          </w:tcPr>
          <w:p>
            <w:pPr>
              <w:spacing w:after="0"/>
            </w:pPr>
            <w:r>
              <w:rPr>
                <w:sz w:val="17"/>
              </w:rPr>
              <w:t>Android Photo Picker / SAF</w:t>
            </w:r>
          </w:p>
        </w:tc>
        <w:tc>
          <w:tcPr>
            <w:tcW w:type="dxa" w:w="2498"/>
            <w:shd w:fill="FAFAFA"/>
          </w:tcPr>
          <w:p>
            <w:pPr>
              <w:spacing w:after="0"/>
            </w:pPr>
            <w:r>
              <w:rPr>
                <w:sz w:val="17"/>
              </w:rPr>
              <w:t>When choosing content</w:t>
            </w:r>
          </w:p>
        </w:tc>
        <w:tc>
          <w:tcPr>
            <w:tcW w:type="dxa" w:w="2498"/>
            <w:shd w:fill="FAFAFA"/>
          </w:tcPr>
          <w:p>
            <w:pPr>
              <w:spacing w:after="0"/>
            </w:pPr>
            <w:r>
              <w:rPr>
                <w:sz w:val="17"/>
              </w:rPr>
              <w:t>Feature unavailable until user selects.</w:t>
            </w:r>
          </w:p>
        </w:tc>
      </w:tr>
      <w:tr>
        <w:tc>
          <w:tcPr>
            <w:tcW w:type="dxa" w:w="2498"/>
          </w:tcPr>
          <w:p>
            <w:pPr>
              <w:spacing w:after="0"/>
            </w:pPr>
            <w:r>
              <w:rPr>
                <w:sz w:val="17"/>
              </w:rPr>
              <w:t>Select documents</w:t>
            </w:r>
          </w:p>
        </w:tc>
        <w:tc>
          <w:tcPr>
            <w:tcW w:type="dxa" w:w="2498"/>
          </w:tcPr>
          <w:p>
            <w:pPr>
              <w:spacing w:after="0"/>
            </w:pPr>
            <w:r>
              <w:rPr>
                <w:sz w:val="17"/>
              </w:rPr>
              <w:t>Storage Access Framework</w:t>
            </w:r>
          </w:p>
        </w:tc>
        <w:tc>
          <w:tcPr>
            <w:tcW w:type="dxa" w:w="2498"/>
          </w:tcPr>
          <w:p>
            <w:pPr>
              <w:spacing w:after="0"/>
            </w:pPr>
            <w:r>
              <w:rPr>
                <w:sz w:val="17"/>
              </w:rPr>
              <w:t>When choosing document</w:t>
            </w:r>
          </w:p>
        </w:tc>
        <w:tc>
          <w:tcPr>
            <w:tcW w:type="dxa" w:w="2498"/>
          </w:tcPr>
          <w:p>
            <w:pPr>
              <w:spacing w:after="0"/>
            </w:pPr>
            <w:r>
              <w:rPr>
                <w:sz w:val="17"/>
              </w:rPr>
              <w:t>Feature unavailable until user selects.</w:t>
            </w:r>
          </w:p>
        </w:tc>
      </w:tr>
      <w:tr>
        <w:tc>
          <w:tcPr>
            <w:tcW w:type="dxa" w:w="2498"/>
            <w:shd w:fill="FAFAFA"/>
          </w:tcPr>
          <w:p>
            <w:pPr>
              <w:spacing w:after="0"/>
            </w:pPr>
            <w:r>
              <w:rPr>
                <w:sz w:val="17"/>
              </w:rPr>
              <w:t>Scanner</w:t>
            </w:r>
          </w:p>
        </w:tc>
        <w:tc>
          <w:tcPr>
            <w:tcW w:type="dxa" w:w="2498"/>
            <w:shd w:fill="FAFAFA"/>
          </w:tcPr>
          <w:p>
            <w:pPr>
              <w:spacing w:after="0"/>
            </w:pPr>
            <w:r>
              <w:rPr>
                <w:sz w:val="17"/>
              </w:rPr>
              <w:t>Camera</w:t>
            </w:r>
          </w:p>
        </w:tc>
        <w:tc>
          <w:tcPr>
            <w:tcW w:type="dxa" w:w="2498"/>
            <w:shd w:fill="FAFAFA"/>
          </w:tcPr>
          <w:p>
            <w:pPr>
              <w:spacing w:after="0"/>
            </w:pPr>
            <w:r>
              <w:rPr>
                <w:sz w:val="17"/>
              </w:rPr>
              <w:t>First scanner launch</w:t>
            </w:r>
          </w:p>
        </w:tc>
        <w:tc>
          <w:tcPr>
            <w:tcW w:type="dxa" w:w="2498"/>
            <w:shd w:fill="FAFAFA"/>
          </w:tcPr>
          <w:p>
            <w:pPr>
              <w:spacing w:after="0"/>
            </w:pPr>
            <w:r>
              <w:rPr>
                <w:sz w:val="17"/>
              </w:rPr>
              <w:t>Choose image from gallery where allowed or manual entry.</w:t>
            </w:r>
          </w:p>
        </w:tc>
      </w:tr>
      <w:tr>
        <w:tc>
          <w:tcPr>
            <w:tcW w:type="dxa" w:w="2498"/>
          </w:tcPr>
          <w:p>
            <w:pPr>
              <w:spacing w:after="0"/>
            </w:pPr>
            <w:r>
              <w:rPr>
                <w:sz w:val="17"/>
              </w:rPr>
              <w:t>Shake to Nod</w:t>
            </w:r>
          </w:p>
        </w:tc>
        <w:tc>
          <w:tcPr>
            <w:tcW w:type="dxa" w:w="2498"/>
          </w:tcPr>
          <w:p>
            <w:pPr>
              <w:spacing w:after="0"/>
            </w:pPr>
            <w:r>
              <w:rPr>
                <w:sz w:val="17"/>
              </w:rPr>
              <w:t>Accelerometer sensor + user-enabled foreground service mode</w:t>
            </w:r>
          </w:p>
        </w:tc>
        <w:tc>
          <w:tcPr>
            <w:tcW w:type="dxa" w:w="2498"/>
          </w:tcPr>
          <w:p>
            <w:pPr>
              <w:spacing w:after="0"/>
            </w:pPr>
            <w:r>
              <w:rPr>
                <w:sz w:val="17"/>
              </w:rPr>
              <w:t>When enabling Always Ready</w:t>
            </w:r>
          </w:p>
        </w:tc>
        <w:tc>
          <w:tcPr>
            <w:tcW w:type="dxa" w:w="2498"/>
          </w:tcPr>
          <w:p>
            <w:pPr>
              <w:spacing w:after="0"/>
            </w:pPr>
            <w:r>
              <w:rPr>
                <w:sz w:val="17"/>
              </w:rPr>
              <w:t>Quick Settings tile/manual launch.</w:t>
            </w:r>
          </w:p>
        </w:tc>
      </w:tr>
      <w:tr>
        <w:tc>
          <w:tcPr>
            <w:tcW w:type="dxa" w:w="2498"/>
            <w:shd w:fill="FAFAFA"/>
          </w:tcPr>
          <w:p>
            <w:pPr>
              <w:spacing w:after="0"/>
            </w:pPr>
            <w:r>
              <w:rPr>
                <w:sz w:val="17"/>
              </w:rPr>
              <w:t>Always Ready</w:t>
            </w:r>
          </w:p>
        </w:tc>
        <w:tc>
          <w:tcPr>
            <w:tcW w:type="dxa" w:w="2498"/>
            <w:shd w:fill="FAFAFA"/>
          </w:tcPr>
          <w:p>
            <w:pPr>
              <w:spacing w:after="0"/>
            </w:pPr>
            <w:r>
              <w:rPr>
                <w:sz w:val="17"/>
              </w:rPr>
              <w:t>Foreground service + notification; Play declarations</w:t>
            </w:r>
          </w:p>
        </w:tc>
        <w:tc>
          <w:tcPr>
            <w:tcW w:type="dxa" w:w="2498"/>
            <w:shd w:fill="FAFAFA"/>
          </w:tcPr>
          <w:p>
            <w:pPr>
              <w:spacing w:after="0"/>
            </w:pPr>
            <w:r>
              <w:rPr>
                <w:sz w:val="17"/>
              </w:rPr>
              <w:t>User explicitly enables</w:t>
            </w:r>
          </w:p>
        </w:tc>
        <w:tc>
          <w:tcPr>
            <w:tcW w:type="dxa" w:w="2498"/>
            <w:shd w:fill="FAFAFA"/>
          </w:tcPr>
          <w:p>
            <w:pPr>
              <w:spacing w:after="0"/>
            </w:pPr>
            <w:r>
              <w:rPr>
                <w:sz w:val="17"/>
              </w:rPr>
              <w:t>Normal foreground-only discovery.</w:t>
            </w:r>
          </w:p>
        </w:tc>
      </w:tr>
    </w:tbl>
    <w:p>
      <w:pPr>
        <w:pStyle w:val="Heading1"/>
        <w:keepNext/>
      </w:pPr>
      <w:r>
        <w:t>3. Quick Nod lifecycle</w:t>
      </w:r>
    </w:p>
    <w:p>
      <w:pPr>
        <w:pStyle w:val="ListNumber"/>
      </w:pPr>
      <w:r>
        <w:t>User enables Always Ready while Nod is visible.</w:t>
      </w:r>
    </w:p>
    <w:p>
      <w:pPr>
        <w:pStyle w:val="ListNumber"/>
      </w:pPr>
      <w:r>
        <w:t>Foreground service displays persistent notification as required.</w:t>
      </w:r>
    </w:p>
    <w:p>
      <w:pPr>
        <w:pStyle w:val="ListNumber"/>
      </w:pPr>
      <w:r>
        <w:t>Shake detector listens for calibrated three-shake pattern; it does not continuously run wireless discovery merely because the service exists.</w:t>
      </w:r>
    </w:p>
    <w:p>
      <w:pPr>
        <w:pStyle w:val="ListNumber"/>
      </w:pPr>
      <w:r>
        <w:t>Three valid shakes invoke StartQuickNodSession().</w:t>
      </w:r>
    </w:p>
    <w:p>
      <w:pPr>
        <w:pStyle w:val="ListNumber"/>
      </w:pPr>
      <w:r>
        <w:t>Quick Settings tile invokes the same StartQuickNodSession().</w:t>
      </w:r>
    </w:p>
    <w:p>
      <w:pPr>
        <w:pStyle w:val="ListNumber"/>
      </w:pPr>
      <w:r>
        <w:t>Nod advertises/discovers for the configured temporary window (initial product default: 60 seconds).</w:t>
      </w:r>
    </w:p>
    <w:p>
      <w:pPr>
        <w:pStyle w:val="ListNumber"/>
      </w:pPr>
      <w:r>
        <w:t>Visibility automatically stops at timeout, successful session transition or user cancellation.</w:t>
      </w:r>
    </w:p>
    <w:p>
      <w:pPr>
        <w:pStyle w:val="Heading1"/>
        <w:keepNext/>
      </w:pPr>
      <w:r>
        <w:t>4. Locked/background behavior</w:t>
      </w:r>
    </w:p>
    <w:p>
      <w:pPr>
        <w:pStyle w:val="ListBullet"/>
      </w:pPr>
      <w:r>
        <w:t>Nod shall not attempt to bypass device lock or force an unrestricted background activity launch.</w:t>
      </w:r>
    </w:p>
    <w:p>
      <w:pPr>
        <w:pStyle w:val="ListBullet"/>
      </w:pPr>
      <w:r>
        <w:t>If Quick Nod triggers while locked, surface the Android-appropriate notification/action and continue after user authentication.</w:t>
      </w:r>
    </w:p>
    <w:p>
      <w:pPr>
        <w:pStyle w:val="ListBullet"/>
      </w:pPr>
      <w:r>
        <w:t>Foreground-service startup restrictions on modern Android must be respected; Always Ready is initiated through explicit user action.</w:t>
      </w:r>
    </w:p>
    <w:p>
      <w:pPr>
        <w:pStyle w:val="Heading1"/>
        <w:keepNext/>
      </w:pPr>
      <w:r>
        <w:t>5. Google Play compliance notes</w:t>
      </w:r>
    </w:p>
    <w:p>
      <w:pPr>
        <w:pStyle w:val="ListBullet"/>
      </w:pPr>
      <w:r>
        <w:t>As of 31 August 2026, new apps and app updates submitted to Google Play must target Android 16 / API 36 or higher.</w:t>
      </w:r>
    </w:p>
    <w:p>
      <w:pPr>
        <w:pStyle w:val="ListBullet"/>
      </w:pPr>
      <w:r>
        <w:t>Apps targeting Android 14+ that use foreground services must declare service types and complete relevant Play Console foreground-service declarations.</w:t>
      </w:r>
    </w:p>
    <w:p>
      <w:pPr>
        <w:pStyle w:val="ListBullet"/>
      </w:pPr>
      <w:r>
        <w:t>Play Console may require a video demonstrating foreground-service functionality and user-trigger path.</w:t>
      </w:r>
    </w:p>
    <w:p>
      <w:pPr>
        <w:pStyle w:val="ListBullet"/>
      </w:pPr>
      <w:r>
        <w:t>Privacy policy and Data Safety disclosures must match actual sensitive-permission/data behavior.</w:t>
      </w:r>
    </w:p>
    <w:p>
      <w:pPr>
        <w:pStyle w:val="Heading1"/>
        <w:keepNext/>
      </w:pPr>
      <w:r>
        <w:t>6. Release evidence</w:t>
      </w:r>
    </w:p>
    <w:p>
      <w:pPr>
        <w:pStyle w:val="ListBullet"/>
      </w:pPr>
      <w:r>
        <w:t>Permission matrix by API 26 through current target.</w:t>
      </w:r>
    </w:p>
    <w:p>
      <w:pPr>
        <w:pStyle w:val="ListBullet"/>
      </w:pPr>
      <w:r>
        <w:t>Screenshots/video of user enabling Always Ready.</w:t>
      </w:r>
    </w:p>
    <w:p>
      <w:pPr>
        <w:pStyle w:val="ListBullet"/>
      </w:pPr>
      <w:r>
        <w:t>Manifest service type and permissions review.</w:t>
      </w:r>
    </w:p>
    <w:p>
      <w:pPr>
        <w:pStyle w:val="ListBullet"/>
      </w:pPr>
      <w:r>
        <w:t>OEM battery-management behavior test notes.</w:t>
      </w:r>
    </w:p>
    <w:p>
      <w:pPr>
        <w:pStyle w:val="ListBullet"/>
      </w:pPr>
      <w:r>
        <w:t>Data Safety SDK inventory and permission-to-feature mapping.</w:t>
      </w:r>
    </w:p>
    <w:p>
      <w:pPr>
        <w:pStyle w:val="Heading1"/>
        <w:keepNext/>
      </w:pPr>
      <w:r>
        <w:t>Authoritative references</w:t>
      </w:r>
    </w:p>
    <w:p>
      <w:r>
        <w:t>These links are included for implementation and legal review. Requirements can change; verify them again immediately before release.</w:t>
      </w:r>
    </w:p>
    <w:p>
      <w:pPr>
        <w:pStyle w:val="ListBullet"/>
      </w:pPr>
      <w:r>
        <w:rPr>
          <w:b/>
        </w:rPr>
        <w:t xml:space="preserve">Nigeria Data Protection Act 2023: </w:t>
      </w:r>
      <w:r>
        <w:t>https://ndpc.gov.ng/download/nigeria-data-protection-act-2023</w:t>
      </w:r>
    </w:p>
    <w:p>
      <w:pPr>
        <w:pStyle w:val="ListBullet"/>
      </w:pPr>
      <w:r>
        <w:rPr>
          <w:b/>
        </w:rPr>
        <w:t xml:space="preserve">NDP Act General Application and Implementation Directive (GAID) 2025: </w:t>
      </w:r>
      <w:r>
        <w:t>https://ndpc.gov.ng/wp-content/uploads/2025/07/NDP-ACT-GAID-2025-MARCH-20TH.pdf</w:t>
      </w:r>
    </w:p>
    <w:p>
      <w:pPr>
        <w:pStyle w:val="ListBullet"/>
      </w:pPr>
      <w:r>
        <w:rPr>
          <w:b/>
        </w:rPr>
        <w:t xml:space="preserve">Nigeria Data Protection Commission resources: </w:t>
      </w:r>
      <w:r>
        <w:t>https://ndpc.gov.ng/resources/</w:t>
      </w:r>
    </w:p>
    <w:p>
      <w:pPr>
        <w:pStyle w:val="ListBullet"/>
      </w:pPr>
      <w:r>
        <w:rPr>
          <w:b/>
        </w:rPr>
        <w:t xml:space="preserve">Copyright Act 2022 - Nigerian Copyright Commission: </w:t>
      </w:r>
      <w:r>
        <w:t>https://www.copyright.gov.ng/CopyrightAct/</w:t>
      </w:r>
    </w:p>
    <w:p>
      <w:pPr>
        <w:pStyle w:val="ListBullet"/>
      </w:pPr>
      <w:r>
        <w:rPr>
          <w:b/>
        </w:rPr>
        <w:t xml:space="preserve">Nigerian Copyright eRegistration System: </w:t>
      </w:r>
      <w:r>
        <w:t>https://eregistration.copyright.gov.ng/</w:t>
      </w:r>
    </w:p>
    <w:p>
      <w:pPr>
        <w:pStyle w:val="ListBullet"/>
      </w:pPr>
      <w:r>
        <w:rPr>
          <w:b/>
        </w:rPr>
        <w:t xml:space="preserve">Google Play - User Data policy: </w:t>
      </w:r>
      <w:r>
        <w:t>https://support.google.com/googleplay/android-developer/answer/10144311</w:t>
      </w:r>
    </w:p>
    <w:p>
      <w:pPr>
        <w:pStyle w:val="ListBullet"/>
      </w:pPr>
      <w:r>
        <w:rPr>
          <w:b/>
        </w:rPr>
        <w:t xml:space="preserve">Google Play - Prepare your app for review: </w:t>
      </w:r>
      <w:r>
        <w:t>https://support.google.com/googleplay/android-developer/answer/9859455</w:t>
      </w:r>
    </w:p>
    <w:p>
      <w:pPr>
        <w:pStyle w:val="ListBullet"/>
      </w:pPr>
      <w:r>
        <w:rPr>
          <w:b/>
        </w:rPr>
        <w:t xml:space="preserve">Google Play - Target API requirements: </w:t>
      </w:r>
      <w:r>
        <w:t>https://support.google.com/googleplay/android-developer/answer/11926878</w:t>
      </w:r>
    </w:p>
    <w:p>
      <w:pPr>
        <w:pStyle w:val="ListBullet"/>
      </w:pPr>
      <w:r>
        <w:rPr>
          <w:b/>
        </w:rPr>
        <w:t xml:space="preserve">Google Play - Foreground service requirements: </w:t>
      </w:r>
      <w:r>
        <w:t>https://support.google.com/googleplay/android-developer/answer/13392821</w:t>
      </w:r>
    </w:p>
    <w:p>
      <w:r>
        <w:br w:type="page"/>
      </w:r>
    </w:p>
    <w:p>
      <w:pPr>
        <w:jc w:val="center"/>
      </w:pPr>
      <w:r>
        <w:rPr>
          <w:b/>
          <w:color w:val="171717"/>
          <w:sz w:val="36"/>
        </w:rPr>
        <w:t>08 Nod UI UX Design System Accessibility Content</w:t>
      </w:r>
    </w:p>
    <w:tbl>
      <w:tblPr>
        <w:tblW w:type="auto" w:w="0"/>
        <w:tblLook w:firstColumn="1" w:firstRow="1" w:lastColumn="0" w:lastRow="0" w:noHBand="0" w:noVBand="1" w:val="04A0"/>
      </w:tblPr>
      <w:tblGrid>
        <w:gridCol w:w="9994"/>
      </w:tblGrid>
      <w:tr>
        <w:tc>
          <w:tcPr>
            <w:tcW w:type="dxa" w:w="9994"/>
            <w:shd w:fill="BFFF00"/>
          </w:tcPr>
          <w:p>
            <w:r/>
          </w:p>
        </w:tc>
      </w:tr>
    </w:tbl>
    <w:p>
      <w:pPr>
        <w:pStyle w:val="Heading1"/>
        <w:keepNext/>
      </w:pPr>
      <w:r>
        <w:t>1. Locked visual identity</w:t>
      </w:r>
    </w:p>
    <w:p>
      <w:pPr>
        <w:pStyle w:val="ListBullet"/>
      </w:pPr>
      <w:r>
        <w:t>Logo: uploaded Nod wordmark is final and must not be redesigned without explicit owner approval.</w:t>
      </w:r>
    </w:p>
    <w:p>
      <w:pPr>
        <w:pStyle w:val="ListBullet"/>
      </w:pPr>
      <w:r>
        <w:t>Primary lemon green: #BFFF00.</w:t>
      </w:r>
    </w:p>
    <w:p>
      <w:pPr>
        <w:pStyle w:val="ListBullet"/>
      </w:pPr>
      <w:r>
        <w:t>Background: #FFFFFF.</w:t>
      </w:r>
    </w:p>
    <w:p>
      <w:pPr>
        <w:pStyle w:val="ListBullet"/>
      </w:pPr>
      <w:r>
        <w:t>Primary text: #171717.</w:t>
      </w:r>
    </w:p>
    <w:p>
      <w:pPr>
        <w:pStyle w:val="ListBullet"/>
      </w:pPr>
      <w:r>
        <w:t>Soft green surface: #F4FFE6.</w:t>
      </w:r>
    </w:p>
    <w:p>
      <w:pPr>
        <w:pStyle w:val="ListBullet"/>
      </w:pPr>
      <w:r>
        <w:t>Tagline: Closer. Faster. Yours.</w:t>
      </w:r>
    </w:p>
    <w:p>
      <w:pPr>
        <w:pStyle w:val="ListBullet"/>
      </w:pPr>
      <w:r>
        <w:t>Typography direction: Poppins or approved metrically compatible alternative; implementation must confirm licensing and Android packaging.</w:t>
      </w:r>
    </w:p>
    <w:p>
      <w:pPr>
        <w:pStyle w:val="Heading1"/>
        <w:keepNext/>
      </w:pPr>
      <w:r>
        <w:t>2. UX principles</w:t>
      </w:r>
    </w:p>
    <w:p>
      <w:pPr>
        <w:pStyle w:val="ListBullet"/>
      </w:pPr>
      <w:r>
        <w:t>Consent before consequence.</w:t>
      </w:r>
    </w:p>
    <w:p>
      <w:pPr>
        <w:pStyle w:val="ListBullet"/>
      </w:pPr>
      <w:r>
        <w:t>Nearby identity before personal identity.</w:t>
      </w:r>
    </w:p>
    <w:p>
      <w:pPr>
        <w:pStyle w:val="ListBullet"/>
      </w:pPr>
      <w:r>
        <w:t>One obvious primary action per critical screen.</w:t>
      </w:r>
    </w:p>
    <w:p>
      <w:pPr>
        <w:pStyle w:val="ListBullet"/>
      </w:pPr>
      <w:r>
        <w:t>Progress and failure states are explicit, not hidden behind spinners.</w:t>
      </w:r>
    </w:p>
    <w:p>
      <w:pPr>
        <w:pStyle w:val="ListBullet"/>
      </w:pPr>
      <w:r>
        <w:t>No transfer can appear successful before integrity verification.</w:t>
      </w:r>
    </w:p>
    <w:p>
      <w:pPr>
        <w:pStyle w:val="ListBullet"/>
      </w:pPr>
      <w:r>
        <w:t>Quick Nod feels immediate but never sacrifices lock-screen/platform security.</w:t>
      </w:r>
    </w:p>
    <w:p>
      <w:pPr>
        <w:pStyle w:val="ListBullet"/>
      </w:pPr>
      <w:r>
        <w:t>Permissions explain the user benefit and offer recovery/fallback.</w:t>
      </w:r>
    </w:p>
    <w:p>
      <w:pPr>
        <w:pStyle w:val="Heading1"/>
        <w:keepNext/>
      </w:pPr>
      <w:r>
        <w:t>3. Core screen inventory</w:t>
      </w:r>
    </w:p>
    <w:tbl>
      <w:tblPr>
        <w:tblStyle w:val="TableGrid"/>
        <w:tblW w:type="auto" w:w="0"/>
        <w:jc w:val="center"/>
        <w:tblLook w:firstColumn="1" w:firstRow="1" w:lastColumn="0" w:lastRow="0" w:noHBand="0" w:noVBand="1" w:val="04A0"/>
      </w:tblPr>
      <w:tblGrid>
        <w:gridCol w:w="4997"/>
        <w:gridCol w:w="4997"/>
      </w:tblGrid>
      <w:tr>
        <w:tc>
          <w:tcPr>
            <w:tcW w:type="dxa" w:w="4997"/>
            <w:shd w:fill="171717"/>
          </w:tcPr>
          <w:p>
            <w:r>
              <w:rPr>
                <w:b/>
                <w:color w:val="FFFFFF"/>
                <w:sz w:val="17"/>
              </w:rPr>
              <w:t>Flow</w:t>
            </w:r>
          </w:p>
        </w:tc>
        <w:tc>
          <w:tcPr>
            <w:tcW w:type="dxa" w:w="4997"/>
            <w:shd w:fill="171717"/>
          </w:tcPr>
          <w:p>
            <w:r>
              <w:rPr>
                <w:b/>
                <w:color w:val="FFFFFF"/>
                <w:sz w:val="17"/>
              </w:rPr>
              <w:t>Screens</w:t>
            </w:r>
          </w:p>
        </w:tc>
      </w:tr>
      <w:tr>
        <w:tc>
          <w:tcPr>
            <w:tcW w:type="dxa" w:w="4997"/>
          </w:tcPr>
          <w:p>
            <w:pPr>
              <w:spacing w:after="0"/>
            </w:pPr>
            <w:r>
              <w:rPr>
                <w:sz w:val="17"/>
              </w:rPr>
              <w:t>Onboarding</w:t>
            </w:r>
          </w:p>
        </w:tc>
        <w:tc>
          <w:tcPr>
            <w:tcW w:type="dxa" w:w="4997"/>
          </w:tcPr>
          <w:p>
            <w:pPr>
              <w:spacing w:after="0"/>
            </w:pPr>
            <w:r>
              <w:rPr>
                <w:sz w:val="17"/>
              </w:rPr>
              <w:t>Splash, value proposition, how it works, profile setup/import, contextual permissions, Quick Nod setup, completion.</w:t>
            </w:r>
          </w:p>
        </w:tc>
      </w:tr>
      <w:tr>
        <w:tc>
          <w:tcPr>
            <w:tcW w:type="dxa" w:w="4997"/>
            <w:shd w:fill="FAFAFA"/>
          </w:tcPr>
          <w:p>
            <w:pPr>
              <w:spacing w:after="0"/>
            </w:pPr>
            <w:r>
              <w:rPr>
                <w:sz w:val="17"/>
              </w:rPr>
              <w:t>Home</w:t>
            </w:r>
          </w:p>
        </w:tc>
        <w:tc>
          <w:tcPr>
            <w:tcW w:type="dxa" w:w="4997"/>
            <w:shd w:fill="FAFAFA"/>
          </w:tcPr>
          <w:p>
            <w:pPr>
              <w:spacing w:after="0"/>
            </w:pPr>
            <w:r>
              <w:rPr>
                <w:sz w:val="17"/>
              </w:rPr>
              <w:t>Send, Receive, scanner, profile, history, settings/status.</w:t>
            </w:r>
          </w:p>
        </w:tc>
      </w:tr>
      <w:tr>
        <w:tc>
          <w:tcPr>
            <w:tcW w:type="dxa" w:w="4997"/>
          </w:tcPr>
          <w:p>
            <w:pPr>
              <w:spacing w:after="0"/>
            </w:pPr>
            <w:r>
              <w:rPr>
                <w:sz w:val="17"/>
              </w:rPr>
              <w:t>Discovery</w:t>
            </w:r>
          </w:p>
        </w:tc>
        <w:tc>
          <w:tcPr>
            <w:tcW w:type="dxa" w:w="4997"/>
          </w:tcPr>
          <w:p>
            <w:pPr>
              <w:spacing w:after="0"/>
            </w:pPr>
            <w:r>
              <w:rPr>
                <w:sz w:val="17"/>
              </w:rPr>
              <w:t>Scanning, peer list/radar, no devices, timeout/retry.</w:t>
            </w:r>
          </w:p>
        </w:tc>
      </w:tr>
      <w:tr>
        <w:tc>
          <w:tcPr>
            <w:tcW w:type="dxa" w:w="4997"/>
            <w:shd w:fill="FAFAFA"/>
          </w:tcPr>
          <w:p>
            <w:pPr>
              <w:spacing w:after="0"/>
            </w:pPr>
            <w:r>
              <w:rPr>
                <w:sz w:val="17"/>
              </w:rPr>
              <w:t>Connection</w:t>
            </w:r>
          </w:p>
        </w:tc>
        <w:tc>
          <w:tcPr>
            <w:tcW w:type="dxa" w:w="4997"/>
            <w:shd w:fill="FAFAFA"/>
          </w:tcPr>
          <w:p>
            <w:pPr>
              <w:spacing w:after="0"/>
            </w:pPr>
            <w:r>
              <w:rPr>
                <w:sz w:val="17"/>
              </w:rPr>
              <w:t>Incoming request, outgoing request, verification code, connected.</w:t>
            </w:r>
          </w:p>
        </w:tc>
      </w:tr>
      <w:tr>
        <w:tc>
          <w:tcPr>
            <w:tcW w:type="dxa" w:w="4997"/>
          </w:tcPr>
          <w:p>
            <w:pPr>
              <w:spacing w:after="0"/>
            </w:pPr>
            <w:r>
              <w:rPr>
                <w:sz w:val="17"/>
              </w:rPr>
              <w:t>Send contact</w:t>
            </w:r>
          </w:p>
        </w:tc>
        <w:tc>
          <w:tcPr>
            <w:tcW w:type="dxa" w:w="4997"/>
          </w:tcPr>
          <w:p>
            <w:pPr>
              <w:spacing w:after="0"/>
            </w:pPr>
            <w:r>
              <w:rPr>
                <w:sz w:val="17"/>
              </w:rPr>
              <w:t>Choose share profile, field review, recipient confirmation, send progress, complete.</w:t>
            </w:r>
          </w:p>
        </w:tc>
      </w:tr>
      <w:tr>
        <w:tc>
          <w:tcPr>
            <w:tcW w:type="dxa" w:w="4997"/>
            <w:shd w:fill="FAFAFA"/>
          </w:tcPr>
          <w:p>
            <w:pPr>
              <w:spacing w:after="0"/>
            </w:pPr>
            <w:r>
              <w:rPr>
                <w:sz w:val="17"/>
              </w:rPr>
              <w:t>Send files</w:t>
            </w:r>
          </w:p>
        </w:tc>
        <w:tc>
          <w:tcPr>
            <w:tcW w:type="dxa" w:w="4997"/>
            <w:shd w:fill="FAFAFA"/>
          </w:tcPr>
          <w:p>
            <w:pPr>
              <w:spacing w:after="0"/>
            </w:pPr>
            <w:r>
              <w:rPr>
                <w:sz w:val="17"/>
              </w:rPr>
              <w:t>Picker handoff, item preview, manifest summary, recipient wait, progress, complete.</w:t>
            </w:r>
          </w:p>
        </w:tc>
      </w:tr>
      <w:tr>
        <w:tc>
          <w:tcPr>
            <w:tcW w:type="dxa" w:w="4997"/>
          </w:tcPr>
          <w:p>
            <w:pPr>
              <w:spacing w:after="0"/>
            </w:pPr>
            <w:r>
              <w:rPr>
                <w:sz w:val="17"/>
              </w:rPr>
              <w:t>Receive</w:t>
            </w:r>
          </w:p>
        </w:tc>
        <w:tc>
          <w:tcPr>
            <w:tcW w:type="dxa" w:w="4997"/>
          </w:tcPr>
          <w:p>
            <w:pPr>
              <w:spacing w:after="0"/>
            </w:pPr>
            <w:r>
              <w:rPr>
                <w:sz w:val="17"/>
              </w:rPr>
              <w:t>Content offer, capacity warning, progress, verified complete, save/open options.</w:t>
            </w:r>
          </w:p>
        </w:tc>
      </w:tr>
      <w:tr>
        <w:tc>
          <w:tcPr>
            <w:tcW w:type="dxa" w:w="4997"/>
            <w:shd w:fill="FAFAFA"/>
          </w:tcPr>
          <w:p>
            <w:pPr>
              <w:spacing w:after="0"/>
            </w:pPr>
            <w:r>
              <w:rPr>
                <w:sz w:val="17"/>
              </w:rPr>
              <w:t>Quick Nod</w:t>
            </w:r>
          </w:p>
        </w:tc>
        <w:tc>
          <w:tcPr>
            <w:tcW w:type="dxa" w:w="4997"/>
            <w:shd w:fill="FAFAFA"/>
          </w:tcPr>
          <w:p>
            <w:pPr>
              <w:spacing w:after="0"/>
            </w:pPr>
            <w:r>
              <w:rPr>
                <w:sz w:val="17"/>
              </w:rPr>
              <w:t>Shake recognized animation, 60-second visibility countdown, cancel.</w:t>
            </w:r>
          </w:p>
        </w:tc>
      </w:tr>
      <w:tr>
        <w:tc>
          <w:tcPr>
            <w:tcW w:type="dxa" w:w="4997"/>
          </w:tcPr>
          <w:p>
            <w:pPr>
              <w:spacing w:after="0"/>
            </w:pPr>
            <w:r>
              <w:rPr>
                <w:sz w:val="17"/>
              </w:rPr>
              <w:t>Safety</w:t>
            </w:r>
          </w:p>
        </w:tc>
        <w:tc>
          <w:tcPr>
            <w:tcW w:type="dxa" w:w="4997"/>
          </w:tcPr>
          <w:p>
            <w:pPr>
              <w:spacing w:after="0"/>
            </w:pPr>
            <w:r>
              <w:rPr>
                <w:sz w:val="17"/>
              </w:rPr>
              <w:t>Block confirmation, blocked list, repeated request handling.</w:t>
            </w:r>
          </w:p>
        </w:tc>
      </w:tr>
      <w:tr>
        <w:tc>
          <w:tcPr>
            <w:tcW w:type="dxa" w:w="4997"/>
            <w:shd w:fill="FAFAFA"/>
          </w:tcPr>
          <w:p>
            <w:pPr>
              <w:spacing w:after="0"/>
            </w:pPr>
            <w:r>
              <w:rPr>
                <w:sz w:val="17"/>
              </w:rPr>
              <w:t>Settings</w:t>
            </w:r>
          </w:p>
        </w:tc>
        <w:tc>
          <w:tcPr>
            <w:tcW w:type="dxa" w:w="4997"/>
            <w:shd w:fill="FAFAFA"/>
          </w:tcPr>
          <w:p>
            <w:pPr>
              <w:spacing w:after="0"/>
            </w:pPr>
            <w:r>
              <w:rPr>
                <w:sz w:val="17"/>
              </w:rPr>
              <w:t>Nearby alias, Quick Nod, Always Ready, privacy/history, permissions, legal/about.</w:t>
            </w:r>
          </w:p>
        </w:tc>
      </w:tr>
    </w:tbl>
    <w:p>
      <w:pPr>
        <w:pStyle w:val="Heading1"/>
        <w:keepNext/>
      </w:pPr>
      <w:r>
        <w:t>4. Motion system</w:t>
      </w:r>
    </w:p>
    <w:p>
      <w:pPr>
        <w:pStyle w:val="ListBullet"/>
      </w:pPr>
      <w:r>
        <w:t>Discovery uses expanding lemon-green rings tied to actual state, not decorative endless animation.</w:t>
      </w:r>
    </w:p>
    <w:p>
      <w:pPr>
        <w:pStyle w:val="ListBullet"/>
      </w:pPr>
      <w:r>
        <w:t>Shake activation uses a short nod/pulse motif followed by visible countdown.</w:t>
      </w:r>
    </w:p>
    <w:p>
      <w:pPr>
        <w:pStyle w:val="ListBullet"/>
      </w:pPr>
      <w:r>
        <w:t>Peer connection visually joins two identities only after verification.</w:t>
      </w:r>
    </w:p>
    <w:p>
      <w:pPr>
        <w:pStyle w:val="ListBullet"/>
      </w:pPr>
      <w:r>
        <w:t>Success animation is brief and never masks final verification result.</w:t>
      </w:r>
    </w:p>
    <w:p>
      <w:pPr>
        <w:pStyle w:val="ListBullet"/>
      </w:pPr>
      <w:r>
        <w:t>Respect system reduced-animation/accessibility settings where available.</w:t>
      </w:r>
    </w:p>
    <w:p>
      <w:pPr>
        <w:pStyle w:val="Heading1"/>
        <w:keepNext/>
      </w:pPr>
      <w:r>
        <w:t>5. Accessibility</w:t>
      </w:r>
    </w:p>
    <w:p>
      <w:pPr>
        <w:pStyle w:val="ListBullet"/>
      </w:pPr>
      <w:r>
        <w:t>Minimum comfortable touch targets consistent with Android guidance.</w:t>
      </w:r>
    </w:p>
    <w:p>
      <w:pPr>
        <w:pStyle w:val="ListBullet"/>
      </w:pPr>
      <w:r>
        <w:t>Text/background contrast verified for lemon-green combinations; never rely on color alone for state.</w:t>
      </w:r>
    </w:p>
    <w:p>
      <w:pPr>
        <w:pStyle w:val="ListBullet"/>
      </w:pPr>
      <w:r>
        <w:t>TalkBack labels for icons, progress, peer identity and actions.</w:t>
      </w:r>
    </w:p>
    <w:p>
      <w:pPr>
        <w:pStyle w:val="ListBullet"/>
      </w:pPr>
      <w:r>
        <w:t>Dynamic font scaling does not clip primary actions.</w:t>
      </w:r>
    </w:p>
    <w:p>
      <w:pPr>
        <w:pStyle w:val="ListBullet"/>
      </w:pPr>
      <w:r>
        <w:t>Transfer progress exposed semantically, including numeric percentage where meaningful.</w:t>
      </w:r>
    </w:p>
    <w:p>
      <w:pPr>
        <w:pStyle w:val="ListBullet"/>
      </w:pPr>
      <w:r>
        <w:t>Error messages identify problem and recovery action.</w:t>
      </w:r>
    </w:p>
    <w:p>
      <w:pPr>
        <w:pStyle w:val="Heading1"/>
        <w:keepNext/>
      </w:pPr>
      <w:r>
        <w:t>6. Content voice</w:t>
      </w:r>
    </w:p>
    <w:p>
      <w:pPr>
        <w:pStyle w:val="ListBullet"/>
      </w:pPr>
      <w:r>
        <w:t>Short, direct and calm.</w:t>
      </w:r>
    </w:p>
    <w:p>
      <w:pPr>
        <w:pStyle w:val="ListBullet"/>
      </w:pPr>
      <w:r>
        <w:t>Say what Nod needs and why.</w:t>
      </w:r>
    </w:p>
    <w:p>
      <w:pPr>
        <w:pStyle w:val="ListBullet"/>
      </w:pPr>
      <w:r>
        <w:t>Avoid technically inaccurate claims such as “no permissions” or “100% anonymous.”</w:t>
      </w:r>
    </w:p>
    <w:p>
      <w:pPr>
        <w:pStyle w:val="ListBullet"/>
      </w:pPr>
      <w:r>
        <w:t>Preferred phrasing: “No internet required for nearby exchange” rather than “Nod never uses the internet” because platform services/updates can have separate network behavior.</w:t>
      </w:r>
    </w:p>
    <w:p>
      <w:pPr>
        <w:pStyle w:val="ListBullet"/>
      </w:pPr>
      <w:r>
        <w:t>Use “Nod” as a verb sparingly and clearly: “Ready to Nod”, “Nod this contact”.</w:t>
      </w:r>
    </w:p>
    <w:p>
      <w:r>
        <w:br w:type="page"/>
      </w:r>
    </w:p>
    <w:p>
      <w:pPr>
        <w:jc w:val="center"/>
      </w:pPr>
      <w:r>
        <w:rPr>
          <w:b/>
          <w:color w:val="171717"/>
          <w:sz w:val="36"/>
        </w:rPr>
        <w:t>09 Nod QA Device Test Release and Signing Plan</w:t>
      </w:r>
    </w:p>
    <w:tbl>
      <w:tblPr>
        <w:tblW w:type="auto" w:w="0"/>
        <w:tblLook w:firstColumn="1" w:firstRow="1" w:lastColumn="0" w:lastRow="0" w:noHBand="0" w:noVBand="1" w:val="04A0"/>
      </w:tblPr>
      <w:tblGrid>
        <w:gridCol w:w="9994"/>
      </w:tblGrid>
      <w:tr>
        <w:tc>
          <w:tcPr>
            <w:tcW w:type="dxa" w:w="9994"/>
            <w:shd w:fill="BFFF00"/>
          </w:tcPr>
          <w:p>
            <w:r/>
          </w:p>
        </w:tc>
      </w:tr>
    </w:tbl>
    <w:p>
      <w:pPr>
        <w:pStyle w:val="Heading1"/>
        <w:keepNext/>
      </w:pPr>
      <w:r>
        <w:t>1. Test layers</w:t>
      </w:r>
    </w:p>
    <w:tbl>
      <w:tblPr>
        <w:tblStyle w:val="TableGrid"/>
        <w:tblW w:type="auto" w:w="0"/>
        <w:jc w:val="center"/>
        <w:tblLook w:firstColumn="1" w:firstRow="1" w:lastColumn="0" w:lastRow="0" w:noHBand="0" w:noVBand="1" w:val="04A0"/>
      </w:tblPr>
      <w:tblGrid>
        <w:gridCol w:w="4997"/>
        <w:gridCol w:w="4997"/>
      </w:tblGrid>
      <w:tr>
        <w:tc>
          <w:tcPr>
            <w:tcW w:type="dxa" w:w="4997"/>
            <w:shd w:fill="171717"/>
          </w:tcPr>
          <w:p>
            <w:r>
              <w:rPr>
                <w:b/>
                <w:color w:val="FFFFFF"/>
                <w:sz w:val="17"/>
              </w:rPr>
              <w:t>Layer</w:t>
            </w:r>
          </w:p>
        </w:tc>
        <w:tc>
          <w:tcPr>
            <w:tcW w:type="dxa" w:w="4997"/>
            <w:shd w:fill="171717"/>
          </w:tcPr>
          <w:p>
            <w:r>
              <w:rPr>
                <w:b/>
                <w:color w:val="FFFFFF"/>
                <w:sz w:val="17"/>
              </w:rPr>
              <w:t>Coverage</w:t>
            </w:r>
          </w:p>
        </w:tc>
      </w:tr>
      <w:tr>
        <w:tc>
          <w:tcPr>
            <w:tcW w:type="dxa" w:w="4997"/>
          </w:tcPr>
          <w:p>
            <w:pPr>
              <w:spacing w:after="0"/>
            </w:pPr>
            <w:r>
              <w:rPr>
                <w:sz w:val="17"/>
              </w:rPr>
              <w:t>Unit</w:t>
            </w:r>
          </w:p>
        </w:tc>
        <w:tc>
          <w:tcPr>
            <w:tcW w:type="dxa" w:w="4997"/>
          </w:tcPr>
          <w:p>
            <w:pPr>
              <w:spacing w:after="0"/>
            </w:pPr>
            <w:r>
              <w:rPr>
                <w:sz w:val="17"/>
              </w:rPr>
              <w:t>State reducers, protocol encoding, validation, shake algorithm, phone normalization, hashing helpers.</w:t>
            </w:r>
          </w:p>
        </w:tc>
      </w:tr>
      <w:tr>
        <w:tc>
          <w:tcPr>
            <w:tcW w:type="dxa" w:w="4997"/>
            <w:shd w:fill="FAFAFA"/>
          </w:tcPr>
          <w:p>
            <w:pPr>
              <w:spacing w:after="0"/>
            </w:pPr>
            <w:r>
              <w:rPr>
                <w:sz w:val="17"/>
              </w:rPr>
              <w:t>Integration</w:t>
            </w:r>
          </w:p>
        </w:tc>
        <w:tc>
          <w:tcPr>
            <w:tcW w:type="dxa" w:w="4997"/>
            <w:shd w:fill="FAFAFA"/>
          </w:tcPr>
          <w:p>
            <w:pPr>
              <w:spacing w:after="0"/>
            </w:pPr>
            <w:r>
              <w:rPr>
                <w:sz w:val="17"/>
              </w:rPr>
              <w:t>Room repositories, DataStore, transport adapter contract tests, file temp/finalization.</w:t>
            </w:r>
          </w:p>
        </w:tc>
      </w:tr>
      <w:tr>
        <w:tc>
          <w:tcPr>
            <w:tcW w:type="dxa" w:w="4997"/>
          </w:tcPr>
          <w:p>
            <w:pPr>
              <w:spacing w:after="0"/>
            </w:pPr>
            <w:r>
              <w:rPr>
                <w:sz w:val="17"/>
              </w:rPr>
              <w:t>UI</w:t>
            </w:r>
          </w:p>
        </w:tc>
        <w:tc>
          <w:tcPr>
            <w:tcW w:type="dxa" w:w="4997"/>
          </w:tcPr>
          <w:p>
            <w:pPr>
              <w:spacing w:after="0"/>
            </w:pPr>
            <w:r>
              <w:rPr>
                <w:sz w:val="17"/>
              </w:rPr>
              <w:t>Compose navigation, permission denial/retry, manifest/consent, errors, accessibility.</w:t>
            </w:r>
          </w:p>
        </w:tc>
      </w:tr>
      <w:tr>
        <w:tc>
          <w:tcPr>
            <w:tcW w:type="dxa" w:w="4997"/>
            <w:shd w:fill="FAFAFA"/>
          </w:tcPr>
          <w:p>
            <w:pPr>
              <w:spacing w:after="0"/>
            </w:pPr>
            <w:r>
              <w:rPr>
                <w:sz w:val="17"/>
              </w:rPr>
              <w:t>Physical device</w:t>
            </w:r>
          </w:p>
        </w:tc>
        <w:tc>
          <w:tcPr>
            <w:tcW w:type="dxa" w:w="4997"/>
            <w:shd w:fill="FAFAFA"/>
          </w:tcPr>
          <w:p>
            <w:pPr>
              <w:spacing w:after="0"/>
            </w:pPr>
            <w:r>
              <w:rPr>
                <w:sz w:val="17"/>
              </w:rPr>
              <w:t>Wireless discovery, pairing, background, OEM battery behavior, large transfer.</w:t>
            </w:r>
          </w:p>
        </w:tc>
      </w:tr>
      <w:tr>
        <w:tc>
          <w:tcPr>
            <w:tcW w:type="dxa" w:w="4997"/>
          </w:tcPr>
          <w:p>
            <w:pPr>
              <w:spacing w:after="0"/>
            </w:pPr>
            <w:r>
              <w:rPr>
                <w:sz w:val="17"/>
              </w:rPr>
              <w:t>Security</w:t>
            </w:r>
          </w:p>
        </w:tc>
        <w:tc>
          <w:tcPr>
            <w:tcW w:type="dxa" w:w="4997"/>
          </w:tcPr>
          <w:p>
            <w:pPr>
              <w:spacing w:after="0"/>
            </w:pPr>
            <w:r>
              <w:rPr>
                <w:sz w:val="17"/>
              </w:rPr>
              <w:t>Malformed input, spoofed alias, replay/duplicate messages, hash mismatch, hostile filenames.</w:t>
            </w:r>
          </w:p>
        </w:tc>
      </w:tr>
      <w:tr>
        <w:tc>
          <w:tcPr>
            <w:tcW w:type="dxa" w:w="4997"/>
            <w:shd w:fill="FAFAFA"/>
          </w:tcPr>
          <w:p>
            <w:pPr>
              <w:spacing w:after="0"/>
            </w:pPr>
            <w:r>
              <w:rPr>
                <w:sz w:val="17"/>
              </w:rPr>
              <w:t>Performance</w:t>
            </w:r>
          </w:p>
        </w:tc>
        <w:tc>
          <w:tcPr>
            <w:tcW w:type="dxa" w:w="4997"/>
            <w:shd w:fill="FAFAFA"/>
          </w:tcPr>
          <w:p>
            <w:pPr>
              <w:spacing w:after="0"/>
            </w:pPr>
            <w:r>
              <w:rPr>
                <w:sz w:val="17"/>
              </w:rPr>
              <w:t>Startup, discovery latency distribution, transfer throughput, memory, battery, large files.</w:t>
            </w:r>
          </w:p>
        </w:tc>
      </w:tr>
    </w:tbl>
    <w:p>
      <w:pPr>
        <w:pStyle w:val="Heading1"/>
        <w:keepNext/>
      </w:pPr>
      <w:r>
        <w:t>2. Minimum physical matrix</w:t>
      </w:r>
    </w:p>
    <w:p>
      <w:pPr>
        <w:pStyle w:val="ListBullet"/>
      </w:pPr>
      <w:r>
        <w:t>Samsung current + older supported model.</w:t>
      </w:r>
    </w:p>
    <w:p>
      <w:pPr>
        <w:pStyle w:val="ListBullet"/>
      </w:pPr>
      <w:r>
        <w:t>Tecno model common in Nigerian market.</w:t>
      </w:r>
    </w:p>
    <w:p>
      <w:pPr>
        <w:pStyle w:val="ListBullet"/>
      </w:pPr>
      <w:r>
        <w:t>Infinix model common in Nigerian market.</w:t>
      </w:r>
    </w:p>
    <w:p>
      <w:pPr>
        <w:pStyle w:val="ListBullet"/>
      </w:pPr>
      <w:r>
        <w:t>Xiaomi/Redmi.</w:t>
      </w:r>
    </w:p>
    <w:p>
      <w:pPr>
        <w:pStyle w:val="ListBullet"/>
      </w:pPr>
      <w:r>
        <w:t>Google Pixel reference device.</w:t>
      </w:r>
    </w:p>
    <w:p>
      <w:pPr>
        <w:pStyle w:val="ListBullet"/>
      </w:pPr>
      <w:r>
        <w:t>At least one API 26/27 or earliest practically obtainable supported device.</w:t>
      </w:r>
    </w:p>
    <w:p>
      <w:pPr>
        <w:pStyle w:val="ListBullet"/>
      </w:pPr>
      <w:r>
        <w:t>At least one device on current target-generation Android.</w:t>
      </w:r>
    </w:p>
    <w:p>
      <w:pPr>
        <w:pStyle w:val="Heading1"/>
        <w:keepNext/>
      </w:pPr>
      <w:r>
        <w:t>3. Pair matrix</w:t>
      </w:r>
    </w:p>
    <w:p>
      <w:pPr>
        <w:pStyle w:val="ListBullet"/>
      </w:pPr>
      <w:r>
        <w:t>Samsung &lt;-&gt; Samsung</w:t>
      </w:r>
    </w:p>
    <w:p>
      <w:pPr>
        <w:pStyle w:val="ListBullet"/>
      </w:pPr>
      <w:r>
        <w:t>Samsung &lt;-&gt; Tecno</w:t>
      </w:r>
    </w:p>
    <w:p>
      <w:pPr>
        <w:pStyle w:val="ListBullet"/>
      </w:pPr>
      <w:r>
        <w:t>Tecno &lt;-&gt; Infinix</w:t>
      </w:r>
    </w:p>
    <w:p>
      <w:pPr>
        <w:pStyle w:val="ListBullet"/>
      </w:pPr>
      <w:r>
        <w:t>Xiaomi &lt;-&gt; Samsung</w:t>
      </w:r>
    </w:p>
    <w:p>
      <w:pPr>
        <w:pStyle w:val="ListBullet"/>
      </w:pPr>
      <w:r>
        <w:t>Pixel &lt;-&gt; Tecno</w:t>
      </w:r>
    </w:p>
    <w:p>
      <w:pPr>
        <w:pStyle w:val="ListBullet"/>
      </w:pPr>
      <w:r>
        <w:t>Different Android major versions</w:t>
      </w:r>
    </w:p>
    <w:p>
      <w:pPr>
        <w:pStyle w:val="ListBullet"/>
      </w:pPr>
      <w:r>
        <w:t>GMS capability present/absent detection path</w:t>
      </w:r>
    </w:p>
    <w:p>
      <w:pPr>
        <w:pStyle w:val="Heading1"/>
        <w:keepNext/>
      </w:pPr>
      <w:r>
        <w:t>4. Stress scenarios</w:t>
      </w:r>
    </w:p>
    <w:p>
      <w:pPr>
        <w:pStyle w:val="ListBullet"/>
      </w:pPr>
      <w:r>
        <w:t>100 KB, 100 MB, 1 GB and multi-GB payloads.</w:t>
      </w:r>
    </w:p>
    <w:p>
      <w:pPr>
        <w:pStyle w:val="ListBullet"/>
      </w:pPr>
      <w:r>
        <w:t>Multiple mixed files.</w:t>
      </w:r>
    </w:p>
    <w:p>
      <w:pPr>
        <w:pStyle w:val="ListBullet"/>
      </w:pPr>
      <w:r>
        <w:t>Cancel by sender and receiver.</w:t>
      </w:r>
    </w:p>
    <w:p>
      <w:pPr>
        <w:pStyle w:val="ListBullet"/>
      </w:pPr>
      <w:r>
        <w:t>Peer walks out of range.</w:t>
      </w:r>
    </w:p>
    <w:p>
      <w:pPr>
        <w:pStyle w:val="ListBullet"/>
      </w:pPr>
      <w:r>
        <w:t>Screen off/lock during transfer.</w:t>
      </w:r>
    </w:p>
    <w:p>
      <w:pPr>
        <w:pStyle w:val="ListBullet"/>
      </w:pPr>
      <w:r>
        <w:t>App backgrounded.</w:t>
      </w:r>
    </w:p>
    <w:p>
      <w:pPr>
        <w:pStyle w:val="ListBullet"/>
      </w:pPr>
      <w:r>
        <w:t>Low battery and low storage.</w:t>
      </w:r>
    </w:p>
    <w:p>
      <w:pPr>
        <w:pStyle w:val="ListBullet"/>
      </w:pPr>
      <w:r>
        <w:t>Wi-Fi already connected to access point.</w:t>
      </w:r>
    </w:p>
    <w:p>
      <w:pPr>
        <w:pStyle w:val="ListBullet"/>
      </w:pPr>
      <w:r>
        <w:t>Mobile data on/off.</w:t>
      </w:r>
    </w:p>
    <w:p>
      <w:pPr>
        <w:pStyle w:val="ListBullet"/>
      </w:pPr>
      <w:r>
        <w:t>Incoming phone interruption.</w:t>
      </w:r>
    </w:p>
    <w:p>
      <w:pPr>
        <w:pStyle w:val="ListBullet"/>
      </w:pPr>
      <w:r>
        <w:t>Process death / app restart.</w:t>
      </w:r>
    </w:p>
    <w:p>
      <w:pPr>
        <w:pStyle w:val="ListBullet"/>
      </w:pPr>
      <w:r>
        <w:t>Version mismatch.</w:t>
      </w:r>
    </w:p>
    <w:p>
      <w:pPr>
        <w:pStyle w:val="Heading1"/>
        <w:keepNext/>
      </w:pPr>
      <w:r>
        <w:t>5. Release signing</w:t>
      </w:r>
    </w:p>
    <w:p>
      <w:pPr>
        <w:pStyle w:val="ListBullet"/>
      </w:pPr>
      <w:r>
        <w:t>Use Play App Signing for production distribution.</w:t>
      </w:r>
    </w:p>
    <w:p>
      <w:pPr>
        <w:pStyle w:val="ListBullet"/>
      </w:pPr>
      <w:r>
        <w:t>Keep upload key in controlled encrypted storage with recovery procedure.</w:t>
      </w:r>
    </w:p>
    <w:p>
      <w:pPr>
        <w:pStyle w:val="ListBullet"/>
      </w:pPr>
      <w:r>
        <w:t>Never embed signing key or credentials in repository/CI logs.</w:t>
      </w:r>
    </w:p>
    <w:p>
      <w:pPr>
        <w:pStyle w:val="ListBullet"/>
      </w:pPr>
      <w:r>
        <w:t>Use separate debug, internal, beta and production build configurations as needed.</w:t>
      </w:r>
    </w:p>
    <w:p>
      <w:pPr>
        <w:pStyle w:val="ListBullet"/>
      </w:pPr>
      <w:r>
        <w:t>Generate and archive release SBOM/dependency inventory, ProGuard mapping and exact source commit/tag.</w:t>
      </w:r>
    </w:p>
    <w:p>
      <w:pPr>
        <w:pStyle w:val="Heading1"/>
        <w:keepNext/>
      </w:pPr>
      <w:r>
        <w:t>6. Rollout</w:t>
      </w:r>
    </w:p>
    <w:p>
      <w:pPr>
        <w:pStyle w:val="ListNumber"/>
      </w:pPr>
      <w:r>
        <w:t>Internal testing track.</w:t>
      </w:r>
    </w:p>
    <w:p>
      <w:pPr>
        <w:pStyle w:val="ListNumber"/>
      </w:pPr>
      <w:r>
        <w:t>Closed beta with representative OEMs.</w:t>
      </w:r>
    </w:p>
    <w:p>
      <w:pPr>
        <w:pStyle w:val="ListNumber"/>
      </w:pPr>
      <w:r>
        <w:t>Fix crash/security/policy findings.</w:t>
      </w:r>
    </w:p>
    <w:p>
      <w:pPr>
        <w:pStyle w:val="ListNumber"/>
      </w:pPr>
      <w:r>
        <w:t>Staged production rollout beginning with a small percentage where available.</w:t>
      </w:r>
    </w:p>
    <w:p>
      <w:pPr>
        <w:pStyle w:val="ListNumber"/>
      </w:pPr>
      <w:r>
        <w:t>Monitor Play vitals/support reports and pause rollout on critical regressions.</w:t>
      </w:r>
    </w:p>
    <w:p>
      <w:pPr>
        <w:pStyle w:val="Heading1"/>
        <w:keepNext/>
      </w:pPr>
      <w:r>
        <w:t>7. Exit criteria</w:t>
      </w:r>
    </w:p>
    <w:p>
      <w:pPr>
        <w:pStyle w:val="ListBullet"/>
      </w:pPr>
      <w:r>
        <w:t>No known critical/high security issue.</w:t>
      </w:r>
    </w:p>
    <w:p>
      <w:pPr>
        <w:pStyle w:val="ListBullet"/>
      </w:pPr>
      <w:r>
        <w:t>100% completed test transfers hash-verify.</w:t>
      </w:r>
    </w:p>
    <w:p>
      <w:pPr>
        <w:pStyle w:val="ListBullet"/>
      </w:pPr>
      <w:r>
        <w:t>Required Play declarations and policy URLs live.</w:t>
      </w:r>
    </w:p>
    <w:p>
      <w:pPr>
        <w:pStyle w:val="ListBullet"/>
      </w:pPr>
      <w:r>
        <w:t>Crash-free and ANR metrics acceptable in beta.</w:t>
      </w:r>
    </w:p>
    <w:p>
      <w:pPr>
        <w:pStyle w:val="ListBullet"/>
      </w:pPr>
      <w:r>
        <w:t>No unresolved blocker on minimum supported OS/OEM matrix.</w:t>
      </w:r>
    </w:p>
    <w:p>
      <w:pPr>
        <w:pStyle w:val="ListBullet"/>
      </w:pPr>
      <w:r>
        <w:t>Legal/operator placeholders resolved in public documents.</w:t>
      </w:r>
    </w:p>
    <w:p>
      <w:r>
        <w:br w:type="page"/>
      </w:r>
    </w:p>
    <w:p>
      <w:pPr>
        <w:jc w:val="center"/>
      </w:pPr>
      <w:r>
        <w:rPr>
          <w:b/>
          <w:color w:val="171717"/>
          <w:sz w:val="36"/>
        </w:rPr>
        <w:t>10 Nod Privacy Policy</w:t>
      </w:r>
    </w:p>
    <w:tbl>
      <w:tblPr>
        <w:tblW w:type="auto" w:w="0"/>
        <w:tblLook w:firstColumn="1" w:firstRow="1" w:lastColumn="0" w:lastRow="0" w:noHBand="0" w:noVBand="1" w:val="04A0"/>
      </w:tblPr>
      <w:tblGrid>
        <w:gridCol w:w="9994"/>
      </w:tblGrid>
      <w:tr>
        <w:tc>
          <w:tcPr>
            <w:tcW w:type="dxa" w:w="9994"/>
            <w:shd w:fill="BFFF00"/>
          </w:tcPr>
          <w:p>
            <w:r/>
          </w:p>
        </w:tc>
      </w:tr>
    </w:tbl>
    <w:tbl>
      <w:tblPr>
        <w:tblW w:type="auto" w:w="0"/>
        <w:jc w:val="center"/>
        <w:tblLook w:firstColumn="1" w:firstRow="1" w:lastColumn="0" w:lastRow="0" w:noHBand="0" w:noVBand="1" w:val="04A0"/>
      </w:tblPr>
      <w:tblGrid>
        <w:gridCol w:w="9994"/>
      </w:tblGrid>
      <w:tr>
        <w:tc>
          <w:tcPr>
            <w:tcW w:type="dxa" w:w="9994"/>
            <w:shd w:fill="FFF4D6"/>
            <w:tcBorders>
              <w:left w:val="single" w:sz="18" w:color="BFFF00"/>
            </w:tcBorders>
          </w:tcPr>
          <w:p>
            <w:r>
              <w:rPr>
                <w:b/>
                <w:color w:val="171717"/>
              </w:rPr>
              <w:t>Complete before publishing</w:t>
              <w:br/>
            </w:r>
            <w:r>
              <w:t>Replace all bracketed operator details, confirm the final SDK list and have the policy reviewed by counsel. Public URL: [PUBLIC WEBSITE / POLICY URL].</w:t>
            </w:r>
          </w:p>
        </w:tc>
      </w:tr>
    </w:tbl>
    <w:p>
      <w:pPr>
        <w:pStyle w:val="Heading1"/>
        <w:keepNext/>
      </w:pPr>
      <w:r>
        <w:t>1. Who we are</w:t>
      </w:r>
    </w:p>
    <w:p>
      <w:r>
        <w:t>Nod is operated by [NOD OWNER / LEGAL ENTITY], with registered address at [REGISTERED ADDRESS]. Privacy questions can be sent to [PRIVACY EMAIL / DPO CONTACT].</w:t>
      </w:r>
    </w:p>
    <w:p>
      <w:pPr>
        <w:pStyle w:val="Heading1"/>
        <w:keepNext/>
      </w:pPr>
      <w:r>
        <w:t>2. What Nod is designed to do</w:t>
      </w:r>
    </w:p>
    <w:p>
      <w:r>
        <w:t>Nod helps nearby Android users discover one another, verify a direct connection and exchange selected contact details and files. The core v1 product does not require a Nod account or a Nod-operated cloud content server for nearby exchange.</w:t>
      </w:r>
    </w:p>
    <w:p>
      <w:pPr>
        <w:pStyle w:val="Heading1"/>
        <w:keepNext/>
      </w:pPr>
      <w:r>
        <w:t>3. Information Nod handles</w:t>
      </w:r>
    </w:p>
    <w:p>
      <w:pPr>
        <w:pStyle w:val="ListBullet"/>
      </w:pPr>
      <w:r>
        <w:t>Profile information you choose to enter or import, such as your display name, photo, phone number, email address, company, job title, website or other optional sharing fields.</w:t>
      </w:r>
    </w:p>
    <w:p>
      <w:pPr>
        <w:pStyle w:val="ListBullet"/>
      </w:pPr>
      <w:r>
        <w:t>Nearby alias, temporary peer/session identifiers and connection state needed to discover and connect devices.</w:t>
      </w:r>
    </w:p>
    <w:p>
      <w:pPr>
        <w:pStyle w:val="ListBullet"/>
      </w:pPr>
      <w:r>
        <w:t>Contact fields and files you explicitly choose to send or receive.</w:t>
      </w:r>
    </w:p>
    <w:p>
      <w:pPr>
        <w:pStyle w:val="ListBullet"/>
      </w:pPr>
      <w:r>
        <w:t>Camera frames/text candidates while you use the number scanner. Nod is designed to process scanner input locally and to let you review the result.</w:t>
      </w:r>
    </w:p>
    <w:p>
      <w:pPr>
        <w:pStyle w:val="ListBullet"/>
      </w:pPr>
      <w:r>
        <w:t>Accelerometer/sensor events while Shake to Nod is enabled. These events are used to recognize the gesture and are not intended to become a movement history.</w:t>
      </w:r>
    </w:p>
    <w:p>
      <w:pPr>
        <w:pStyle w:val="ListBullet"/>
      </w:pPr>
      <w:r>
        <w:t>Local transfer-history metadata, such as direction, content category, item count, peer alias, time, status and byte count.</w:t>
      </w:r>
    </w:p>
    <w:p>
      <w:pPr>
        <w:pStyle w:val="ListBullet"/>
      </w:pPr>
      <w:r>
        <w:t>Android permission and capability states needed to enable features.</w:t>
      </w:r>
    </w:p>
    <w:p>
      <w:pPr>
        <w:pStyle w:val="Heading1"/>
        <w:keepNext/>
      </w:pPr>
      <w:r>
        <w:t>4. Where information is stored</w:t>
      </w:r>
    </w:p>
    <w:p>
      <w:r>
        <w:t>Your Nod Profile and settings are intended to be stored in Nod’s private storage on your device. Sensitive profile fields should be encrypted using device-protected keys. Nod is designed to exclude sensitive identity material from ordinary platform cloud backup where technically applicable. Files you successfully receive are saved to Android-managed user storage only after the applicable receive/finalization flow.</w:t>
      </w:r>
    </w:p>
    <w:p>
      <w:pPr>
        <w:pStyle w:val="Heading1"/>
        <w:keepNext/>
      </w:pPr>
      <w:r>
        <w:t>5. Sharing with another Nod user</w:t>
      </w:r>
    </w:p>
    <w:p>
      <w:r>
        <w:t>When you choose to share, the selected information is transmitted to the nearby device you approve. Connecting to a device is separate from approving a specific contact or file transfer. Nod does not intend to broadcast your full contact profile merely to make you discoverable.</w:t>
      </w:r>
    </w:p>
    <w:p>
      <w:pPr>
        <w:pStyle w:val="Heading1"/>
        <w:keepNext/>
      </w:pPr>
      <w:r>
        <w:t>6. Third-party platform services</w:t>
      </w:r>
    </w:p>
    <w:p>
      <w:r>
        <w:t>Nod may rely on Android, Google Play services and bundled libraries to provide nearby connectivity, on-device recognition, app distribution, crash/security functions or other platform capabilities. Those providers may process technical or diagnostic information under their own terms. The exact production SDK inventory and Google Play Data Safety disclosures must match the released build. Nod will update this policy if material processing changes.</w:t>
      </w:r>
    </w:p>
    <w:p>
      <w:pPr>
        <w:pStyle w:val="Heading1"/>
        <w:keepNext/>
      </w:pPr>
      <w:r>
        <w:t>7. Permissions</w:t>
      </w:r>
    </w:p>
    <w:p>
      <w:r>
        <w:t>Depending on your Android version and the feature you use, Nod may request access relating to nearby devices/Bluetooth/Wi-Fi or legacy location, contacts, camera, selected photos/media or documents, notifications and foreground-service capabilities. Permissions are requested for stated features and can be changed in Android settings. Denying one permission should not disable unrelated features where technically possible.</w:t>
      </w:r>
    </w:p>
    <w:p>
      <w:pPr>
        <w:pStyle w:val="Heading1"/>
        <w:keepNext/>
      </w:pPr>
      <w:r>
        <w:t>8. Retention</w:t>
      </w:r>
    </w:p>
    <w:p>
      <w:pPr>
        <w:pStyle w:val="ListBullet"/>
      </w:pPr>
      <w:r>
        <w:t>Nod Profile and Share Profiles: until you edit/delete them, clear app data or uninstall Nod, subject to platform behavior.</w:t>
      </w:r>
    </w:p>
    <w:p>
      <w:pPr>
        <w:pStyle w:val="ListBullet"/>
      </w:pPr>
      <w:r>
        <w:t>Incomplete incoming files: temporary and deleted after failure/cancellation/cleanup.</w:t>
      </w:r>
    </w:p>
    <w:p>
      <w:pPr>
        <w:pStyle w:val="ListBullet"/>
      </w:pPr>
      <w:r>
        <w:t>Pending received contact data: used for the receive/save flow and not intended as a separate permanent address book.</w:t>
      </w:r>
    </w:p>
    <w:p>
      <w:pPr>
        <w:pStyle w:val="ListBullet"/>
      </w:pPr>
      <w:r>
        <w:t>Transfer history: stored locally until cleared or according to the product retention setting published in the final app.</w:t>
      </w:r>
    </w:p>
    <w:p>
      <w:pPr>
        <w:pStyle w:val="ListBullet"/>
      </w:pPr>
      <w:r>
        <w:t>No Nod-operated central content archive is intended for v1 nearby transfers.</w:t>
      </w:r>
    </w:p>
    <w:p>
      <w:pPr>
        <w:pStyle w:val="Heading1"/>
        <w:keepNext/>
      </w:pPr>
      <w:r>
        <w:t>9. Your choices and rights</w:t>
      </w:r>
    </w:p>
    <w:p>
      <w:r>
        <w:t>You can edit or delete your local profile, choose which fields to share, decline transfers, clear local history, block peers, disable Shake to Nod/Always Ready, revoke Android permissions and uninstall the app. Where the operator processes personal data subject to applicable law, you may also exercise statutory data protection rights by contacting the privacy address above.</w:t>
      </w:r>
    </w:p>
    <w:p>
      <w:pPr>
        <w:pStyle w:val="Heading1"/>
        <w:keepNext/>
      </w:pPr>
      <w:r>
        <w:t>10. Children</w:t>
      </w:r>
    </w:p>
    <w:p>
      <w:r>
        <w:t>Nod is not presently designed as a child-directed service. The operator must finalize the app’s target-age and Google Play Families posture before release. If the final product is directed to or knowingly used by children in a manner that triggers additional legal or Play obligations, this policy and product controls must be updated before that use is supported.</w:t>
      </w:r>
    </w:p>
    <w:p>
      <w:pPr>
        <w:pStyle w:val="Heading1"/>
        <w:keepNext/>
      </w:pPr>
      <w:r>
        <w:t>11. Security</w:t>
      </w:r>
    </w:p>
    <w:p>
      <w:r>
        <w:t>Nod uses technical and product safeguards intended to protect local profile data and transfers, including device-private storage, encryption for sensitive profile data, human peer verification, explicit transfer approval, temporary-file handling and integrity verification. No system can guarantee absolute security.</w:t>
      </w:r>
    </w:p>
    <w:p>
      <w:pPr>
        <w:pStyle w:val="Heading1"/>
        <w:keepNext/>
      </w:pPr>
      <w:r>
        <w:t>12. Changes</w:t>
      </w:r>
    </w:p>
    <w:p>
      <w:r>
        <w:t>We may update this policy when Nod’s features, SDKs, legal obligations or data practices change. Material changes should be reflected in-app and on the public policy URL with an updated effective date.</w:t>
      </w:r>
    </w:p>
    <w:p>
      <w:pPr>
        <w:pStyle w:val="Heading1"/>
        <w:keepNext/>
      </w:pPr>
      <w:r>
        <w:t>13. Contact</w:t>
      </w:r>
    </w:p>
    <w:p>
      <w:r>
        <w:t>Privacy: [PRIVACY EMAIL / DPO CONTACT]</w:t>
        <w:br/>
        <w:t>Support: [SUPPORT EMAIL]</w:t>
        <w:br/>
        <w:t>Operator: [NOD OWNER / LEGAL ENTITY]</w:t>
        <w:br/>
        <w:t>Address: [REGISTERED ADDRESS]</w:t>
      </w:r>
    </w:p>
    <w:p>
      <w:pPr>
        <w:pStyle w:val="Heading1"/>
        <w:keepNext/>
      </w:pPr>
      <w:r>
        <w:t>Authoritative references</w:t>
      </w:r>
    </w:p>
    <w:p>
      <w:r>
        <w:t>These links are included for implementation and legal review. Requirements can change; verify them again immediately before release.</w:t>
      </w:r>
    </w:p>
    <w:p>
      <w:pPr>
        <w:pStyle w:val="ListBullet"/>
      </w:pPr>
      <w:r>
        <w:rPr>
          <w:b/>
        </w:rPr>
        <w:t xml:space="preserve">Nigeria Data Protection Act 2023: </w:t>
      </w:r>
      <w:r>
        <w:t>https://ndpc.gov.ng/download/nigeria-data-protection-act-2023</w:t>
      </w:r>
    </w:p>
    <w:p>
      <w:pPr>
        <w:pStyle w:val="ListBullet"/>
      </w:pPr>
      <w:r>
        <w:rPr>
          <w:b/>
        </w:rPr>
        <w:t xml:space="preserve">NDP Act General Application and Implementation Directive (GAID) 2025: </w:t>
      </w:r>
      <w:r>
        <w:t>https://ndpc.gov.ng/wp-content/uploads/2025/07/NDP-ACT-GAID-2025-MARCH-20TH.pdf</w:t>
      </w:r>
    </w:p>
    <w:p>
      <w:pPr>
        <w:pStyle w:val="ListBullet"/>
      </w:pPr>
      <w:r>
        <w:rPr>
          <w:b/>
        </w:rPr>
        <w:t xml:space="preserve">Nigeria Data Protection Commission resources: </w:t>
      </w:r>
      <w:r>
        <w:t>https://ndpc.gov.ng/resources/</w:t>
      </w:r>
    </w:p>
    <w:p>
      <w:pPr>
        <w:pStyle w:val="ListBullet"/>
      </w:pPr>
      <w:r>
        <w:rPr>
          <w:b/>
        </w:rPr>
        <w:t xml:space="preserve">Copyright Act 2022 - Nigerian Copyright Commission: </w:t>
      </w:r>
      <w:r>
        <w:t>https://www.copyright.gov.ng/CopyrightAct/</w:t>
      </w:r>
    </w:p>
    <w:p>
      <w:pPr>
        <w:pStyle w:val="ListBullet"/>
      </w:pPr>
      <w:r>
        <w:rPr>
          <w:b/>
        </w:rPr>
        <w:t xml:space="preserve">Nigerian Copyright eRegistration System: </w:t>
      </w:r>
      <w:r>
        <w:t>https://eregistration.copyright.gov.ng/</w:t>
      </w:r>
    </w:p>
    <w:p>
      <w:pPr>
        <w:pStyle w:val="ListBullet"/>
      </w:pPr>
      <w:r>
        <w:rPr>
          <w:b/>
        </w:rPr>
        <w:t xml:space="preserve">Google Play - User Data policy: </w:t>
      </w:r>
      <w:r>
        <w:t>https://support.google.com/googleplay/android-developer/answer/10144311</w:t>
      </w:r>
    </w:p>
    <w:p>
      <w:pPr>
        <w:pStyle w:val="ListBullet"/>
      </w:pPr>
      <w:r>
        <w:rPr>
          <w:b/>
        </w:rPr>
        <w:t xml:space="preserve">Google Play - Prepare your app for review: </w:t>
      </w:r>
      <w:r>
        <w:t>https://support.google.com/googleplay/android-developer/answer/9859455</w:t>
      </w:r>
    </w:p>
    <w:p>
      <w:pPr>
        <w:pStyle w:val="ListBullet"/>
      </w:pPr>
      <w:r>
        <w:rPr>
          <w:b/>
        </w:rPr>
        <w:t xml:space="preserve">Google Play - Target API requirements: </w:t>
      </w:r>
      <w:r>
        <w:t>https://support.google.com/googleplay/android-developer/answer/11926878</w:t>
      </w:r>
    </w:p>
    <w:p>
      <w:pPr>
        <w:pStyle w:val="ListBullet"/>
      </w:pPr>
      <w:r>
        <w:rPr>
          <w:b/>
        </w:rPr>
        <w:t xml:space="preserve">Google Play - Foreground service requirements: </w:t>
      </w:r>
      <w:r>
        <w:t>https://support.google.com/googleplay/android-developer/answer/13392821</w:t>
      </w:r>
    </w:p>
    <w:p>
      <w:r>
        <w:br w:type="page"/>
      </w:r>
    </w:p>
    <w:p>
      <w:pPr>
        <w:jc w:val="center"/>
      </w:pPr>
      <w:r>
        <w:rPr>
          <w:b/>
          <w:color w:val="171717"/>
          <w:sz w:val="36"/>
        </w:rPr>
        <w:t>11 Nod Terms EULA Acceptable Use</w:t>
      </w:r>
    </w:p>
    <w:tbl>
      <w:tblPr>
        <w:tblW w:type="auto" w:w="0"/>
        <w:tblLook w:firstColumn="1" w:firstRow="1" w:lastColumn="0" w:lastRow="0" w:noHBand="0" w:noVBand="1" w:val="04A0"/>
      </w:tblPr>
      <w:tblGrid>
        <w:gridCol w:w="9994"/>
      </w:tblGrid>
      <w:tr>
        <w:tc>
          <w:tcPr>
            <w:tcW w:type="dxa" w:w="9994"/>
            <w:shd w:fill="BFFF00"/>
          </w:tcPr>
          <w:p>
            <w:r/>
          </w:p>
        </w:tc>
      </w:tr>
    </w:tbl>
    <w:tbl>
      <w:tblPr>
        <w:tblW w:type="auto" w:w="0"/>
        <w:jc w:val="center"/>
        <w:tblLook w:firstColumn="1" w:firstRow="1" w:lastColumn="0" w:lastRow="0" w:noHBand="0" w:noVBand="1" w:val="04A0"/>
      </w:tblPr>
      <w:tblGrid>
        <w:gridCol w:w="9994"/>
      </w:tblGrid>
      <w:tr>
        <w:tc>
          <w:tcPr>
            <w:tcW w:type="dxa" w:w="9994"/>
            <w:shd w:fill="FFF4D6"/>
            <w:tcBorders>
              <w:left w:val="single" w:sz="18" w:color="BFFF00"/>
            </w:tcBorders>
          </w:tcPr>
          <w:p>
            <w:r>
              <w:rPr>
                <w:b/>
                <w:color w:val="171717"/>
              </w:rPr>
              <w:t>Legal review required</w:t>
              <w:br/>
            </w:r>
            <w:r>
              <w:t>This agreement contains enforceable contract language and must be completed with the real operator identity and reviewed by counsel before acceptance is requested from users.</w:t>
            </w:r>
          </w:p>
        </w:tc>
      </w:tr>
    </w:tbl>
    <w:p>
      <w:pPr>
        <w:pStyle w:val="Heading1"/>
        <w:keepNext/>
      </w:pPr>
      <w:r>
        <w:t>1. Agreement</w:t>
      </w:r>
    </w:p>
    <w:p>
      <w:r>
        <w:t>These Terms govern your use of the Nod Android application provided by [NOD OWNER / LEGAL ENTITY] (“Nod”, “we”, “us”). By installing or using Nod after these Terms are presented, you agree to them to the extent permitted by applicable law. If you do not agree, do not use the app.</w:t>
      </w:r>
    </w:p>
    <w:p>
      <w:pPr>
        <w:pStyle w:val="Heading1"/>
        <w:keepNext/>
      </w:pPr>
      <w:r>
        <w:t>2. Licence</w:t>
      </w:r>
    </w:p>
    <w:p>
      <w:r>
        <w:t>Subject to these Terms, Nod grants you a limited, personal, non-exclusive, non-transferable, revocable licence to install and use the app on compatible Android devices for lawful personal or internal business use. No ownership of the app, source code, branding or documentation is transferred to you.</w:t>
      </w:r>
    </w:p>
    <w:p>
      <w:pPr>
        <w:pStyle w:val="Heading1"/>
        <w:keepNext/>
      </w:pPr>
      <w:r>
        <w:t>3. Your content and device-to-device transfers</w:t>
      </w:r>
    </w:p>
    <w:p>
      <w:r>
        <w:t>You remain responsible for content you choose to send. You represent that you have the right to send it and that your transfer does not violate law, privacy, confidentiality, intellectual-property or contractual rights. Nod does not grant you rights in content received from another user.</w:t>
      </w:r>
    </w:p>
    <w:p>
      <w:pPr>
        <w:pStyle w:val="Heading1"/>
        <w:keepNext/>
      </w:pPr>
      <w:r>
        <w:t>4. Acceptable use</w:t>
      </w:r>
    </w:p>
    <w:p>
      <w:pPr>
        <w:pStyle w:val="ListBullet"/>
      </w:pPr>
      <w:r>
        <w:t>Do not use Nod to distribute malware, unlawful content, stolen/confidential material, harassment or content you have no right to share.</w:t>
      </w:r>
    </w:p>
    <w:p>
      <w:pPr>
        <w:pStyle w:val="ListBullet"/>
      </w:pPr>
      <w:r>
        <w:t>Do not impersonate another person or intentionally mislead peers about your identity.</w:t>
      </w:r>
    </w:p>
    <w:p>
      <w:pPr>
        <w:pStyle w:val="ListBullet"/>
      </w:pPr>
      <w:r>
        <w:t>Do not attempt to bypass pairing, security, rate limits or platform protections.</w:t>
      </w:r>
    </w:p>
    <w:p>
      <w:pPr>
        <w:pStyle w:val="ListBullet"/>
      </w:pPr>
      <w:r>
        <w:t>Do not reverse engineer or circumvent technical protections except to the extent such restriction is prohibited by applicable law or an open-source licence expressly permits it.</w:t>
      </w:r>
    </w:p>
    <w:p>
      <w:pPr>
        <w:pStyle w:val="ListBullet"/>
      </w:pPr>
      <w:r>
        <w:t>Do not use Nod to interfere with networks, devices or other users.</w:t>
      </w:r>
    </w:p>
    <w:p>
      <w:pPr>
        <w:pStyle w:val="Heading1"/>
        <w:keepNext/>
      </w:pPr>
      <w:r>
        <w:t>5. Nearby identity and consent</w:t>
      </w:r>
    </w:p>
    <w:p>
      <w:r>
        <w:t>A nearby alias is not proof of a person’s identity. You are responsible for comparing the verification information displayed on both devices and confirming you are connected to the intended person. Accepting a device connection does not require you to accept any offered content.</w:t>
      </w:r>
    </w:p>
    <w:p>
      <w:pPr>
        <w:pStyle w:val="Heading1"/>
        <w:keepNext/>
      </w:pPr>
      <w:r>
        <w:t>6. Availability and compatibility</w:t>
      </w:r>
    </w:p>
    <w:p>
      <w:r>
        <w:t>Nod depends on compatible Android hardware, operating-system features, permissions and third-party platform services. Features may vary by Android version, manufacturer, device settings or service availability. We may change or discontinue features for security, policy or technical reasons.</w:t>
      </w:r>
    </w:p>
    <w:p>
      <w:pPr>
        <w:pStyle w:val="Heading1"/>
        <w:keepNext/>
      </w:pPr>
      <w:r>
        <w:t>7. Updates</w:t>
      </w:r>
    </w:p>
    <w:p>
      <w:r>
        <w:t>Updates may be required to maintain compatibility, security or access to the service. Older versions may be unable to communicate with newer protocol versions after reasonable compatibility windows.</w:t>
      </w:r>
    </w:p>
    <w:p>
      <w:pPr>
        <w:pStyle w:val="Heading1"/>
        <w:keepNext/>
      </w:pPr>
      <w:r>
        <w:t>8. Intellectual property</w:t>
      </w:r>
    </w:p>
    <w:p>
      <w:r>
        <w:t>The Nod app, original source code, documentation, visual designs and branding are owned by [NOD OWNER / LEGAL ENTITY] or its licensors, subject to applicable open-source licences. “Nod” and its logo may also be protected as trademarks where registered or otherwise protected by law.</w:t>
      </w:r>
    </w:p>
    <w:p>
      <w:pPr>
        <w:pStyle w:val="Heading1"/>
        <w:keepNext/>
      </w:pPr>
      <w:r>
        <w:t>9. Privacy</w:t>
      </w:r>
    </w:p>
    <w:p>
      <w:r>
        <w:t>The Nod Privacy Policy explains the app’s handling of personal and device data and forms part of these Terms where applicable.</w:t>
      </w:r>
    </w:p>
    <w:p>
      <w:pPr>
        <w:pStyle w:val="Heading1"/>
        <w:keepNext/>
      </w:pPr>
      <w:r>
        <w:t>10. Disclaimers</w:t>
      </w:r>
    </w:p>
    <w:p>
      <w:r>
        <w:t>To the maximum extent permitted by law, Nod is provided on an “as available” basis. We do not warrant uninterrupted discovery, transfer speed, universal device compatibility or that every received file is safe or useful. Nothing in these Terms excludes rights or warranties that cannot lawfully be excluded.</w:t>
      </w:r>
    </w:p>
    <w:p>
      <w:pPr>
        <w:pStyle w:val="Heading1"/>
        <w:keepNext/>
      </w:pPr>
      <w:r>
        <w:t>11. Limitation of liability</w:t>
      </w:r>
    </w:p>
    <w:p>
      <w:r>
        <w:t>To the maximum extent permitted by applicable law, the operator is not liable for indirect, consequential, special or punitive losses arising from use of Nod, loss of data caused by device failure or user action, or content exchanged between independent users. Any limitation is subject to mandatory consumer and statutory rights and should be finalized by counsel for the operator’s launch jurisdictions.</w:t>
      </w:r>
    </w:p>
    <w:p>
      <w:pPr>
        <w:pStyle w:val="Heading1"/>
        <w:keepNext/>
      </w:pPr>
      <w:r>
        <w:t>12. Suspension / termination</w:t>
      </w:r>
    </w:p>
    <w:p>
      <w:r>
        <w:t>You may stop using Nod at any time and uninstall it. We may limit or end access to distributed versions or supporting services when necessary for law, security, abuse prevention, platform compliance or product discontinuation, subject to applicable law.</w:t>
      </w:r>
    </w:p>
    <w:p>
      <w:pPr>
        <w:pStyle w:val="Heading1"/>
        <w:keepNext/>
      </w:pPr>
      <w:r>
        <w:t>13. Governing law and disputes</w:t>
      </w:r>
    </w:p>
    <w:p>
      <w:r>
        <w:t>The final operator should select the appropriate governing-law and dispute forum after legal review. Draft position: laws of the Federal Republic of Nigeria, without limiting mandatory rights that apply to a user in another jurisdiction. Parties should first attempt good-faith resolution through the support contact before formal proceedings where appropriate.</w:t>
      </w:r>
    </w:p>
    <w:p>
      <w:pPr>
        <w:pStyle w:val="Heading1"/>
        <w:keepNext/>
      </w:pPr>
      <w:r>
        <w:t>14. Contact</w:t>
      </w:r>
    </w:p>
    <w:p>
      <w:r>
        <w:t>[NOD OWNER / LEGAL ENTITY]</w:t>
        <w:br/>
        <w:t>[REGISTERED ADDRESS]</w:t>
        <w:br/>
        <w:t>Support: [SUPPORT EMAIL]</w:t>
        <w:br/>
        <w:t>Legal/privacy: [PRIVACY EMAIL / DPO CONTACT]</w:t>
      </w:r>
    </w:p>
    <w:p>
      <w:pPr>
        <w:pStyle w:val="Heading1"/>
        <w:keepNext/>
      </w:pPr>
      <w:r>
        <w:t>Authoritative references</w:t>
      </w:r>
    </w:p>
    <w:p>
      <w:r>
        <w:t>These links are included for implementation and legal review. Requirements can change; verify them again immediately before release.</w:t>
      </w:r>
    </w:p>
    <w:p>
      <w:pPr>
        <w:pStyle w:val="ListBullet"/>
      </w:pPr>
      <w:r>
        <w:rPr>
          <w:b/>
        </w:rPr>
        <w:t xml:space="preserve">Nigeria Data Protection Act 2023: </w:t>
      </w:r>
      <w:r>
        <w:t>https://ndpc.gov.ng/download/nigeria-data-protection-act-2023</w:t>
      </w:r>
    </w:p>
    <w:p>
      <w:pPr>
        <w:pStyle w:val="ListBullet"/>
      </w:pPr>
      <w:r>
        <w:rPr>
          <w:b/>
        </w:rPr>
        <w:t xml:space="preserve">NDP Act General Application and Implementation Directive (GAID) 2025: </w:t>
      </w:r>
      <w:r>
        <w:t>https://ndpc.gov.ng/wp-content/uploads/2025/07/NDP-ACT-GAID-2025-MARCH-20TH.pdf</w:t>
      </w:r>
    </w:p>
    <w:p>
      <w:pPr>
        <w:pStyle w:val="ListBullet"/>
      </w:pPr>
      <w:r>
        <w:rPr>
          <w:b/>
        </w:rPr>
        <w:t xml:space="preserve">Nigeria Data Protection Commission resources: </w:t>
      </w:r>
      <w:r>
        <w:t>https://ndpc.gov.ng/resources/</w:t>
      </w:r>
    </w:p>
    <w:p>
      <w:pPr>
        <w:pStyle w:val="ListBullet"/>
      </w:pPr>
      <w:r>
        <w:rPr>
          <w:b/>
        </w:rPr>
        <w:t xml:space="preserve">Copyright Act 2022 - Nigerian Copyright Commission: </w:t>
      </w:r>
      <w:r>
        <w:t>https://www.copyright.gov.ng/CopyrightAct/</w:t>
      </w:r>
    </w:p>
    <w:p>
      <w:pPr>
        <w:pStyle w:val="ListBullet"/>
      </w:pPr>
      <w:r>
        <w:rPr>
          <w:b/>
        </w:rPr>
        <w:t xml:space="preserve">Nigerian Copyright eRegistration System: </w:t>
      </w:r>
      <w:r>
        <w:t>https://eregistration.copyright.gov.ng/</w:t>
      </w:r>
    </w:p>
    <w:p>
      <w:pPr>
        <w:pStyle w:val="ListBullet"/>
      </w:pPr>
      <w:r>
        <w:rPr>
          <w:b/>
        </w:rPr>
        <w:t xml:space="preserve">Google Play - User Data policy: </w:t>
      </w:r>
      <w:r>
        <w:t>https://support.google.com/googleplay/android-developer/answer/10144311</w:t>
      </w:r>
    </w:p>
    <w:p>
      <w:pPr>
        <w:pStyle w:val="ListBullet"/>
      </w:pPr>
      <w:r>
        <w:rPr>
          <w:b/>
        </w:rPr>
        <w:t xml:space="preserve">Google Play - Prepare your app for review: </w:t>
      </w:r>
      <w:r>
        <w:t>https://support.google.com/googleplay/android-developer/answer/9859455</w:t>
      </w:r>
    </w:p>
    <w:p>
      <w:pPr>
        <w:pStyle w:val="ListBullet"/>
      </w:pPr>
      <w:r>
        <w:rPr>
          <w:b/>
        </w:rPr>
        <w:t xml:space="preserve">Google Play - Target API requirements: </w:t>
      </w:r>
      <w:r>
        <w:t>https://support.google.com/googleplay/android-developer/answer/11926878</w:t>
      </w:r>
    </w:p>
    <w:p>
      <w:pPr>
        <w:pStyle w:val="ListBullet"/>
      </w:pPr>
      <w:r>
        <w:rPr>
          <w:b/>
        </w:rPr>
        <w:t xml:space="preserve">Google Play - Foreground service requirements: </w:t>
      </w:r>
      <w:r>
        <w:t>https://support.google.com/googleplay/android-developer/answer/13392821</w:t>
      </w:r>
    </w:p>
    <w:p>
      <w:r>
        <w:br w:type="page"/>
      </w:r>
    </w:p>
    <w:p>
      <w:pPr>
        <w:jc w:val="center"/>
      </w:pPr>
      <w:r>
        <w:rPr>
          <w:b/>
          <w:color w:val="171717"/>
          <w:sz w:val="36"/>
        </w:rPr>
        <w:t>12 Nod IP Copyright Trademark and Open Source Policy</w:t>
      </w:r>
    </w:p>
    <w:tbl>
      <w:tblPr>
        <w:tblW w:type="auto" w:w="0"/>
        <w:tblLook w:firstColumn="1" w:firstRow="1" w:lastColumn="0" w:lastRow="0" w:noHBand="0" w:noVBand="1" w:val="04A0"/>
      </w:tblPr>
      <w:tblGrid>
        <w:gridCol w:w="9994"/>
      </w:tblGrid>
      <w:tr>
        <w:tc>
          <w:tcPr>
            <w:tcW w:type="dxa" w:w="9994"/>
            <w:shd w:fill="BFFF00"/>
          </w:tcPr>
          <w:p>
            <w:r/>
          </w:p>
        </w:tc>
      </w:tr>
    </w:tbl>
    <w:p>
      <w:pPr>
        <w:pStyle w:val="Heading1"/>
        <w:keepNext/>
      </w:pPr>
      <w:r>
        <w:t>1. IP inventory</w:t>
      </w:r>
    </w:p>
    <w:tbl>
      <w:tblPr>
        <w:tblStyle w:val="TableGrid"/>
        <w:tblW w:type="auto" w:w="0"/>
        <w:jc w:val="center"/>
        <w:tblLook w:firstColumn="1" w:firstRow="1" w:lastColumn="0" w:lastRow="0" w:noHBand="0" w:noVBand="1" w:val="04A0"/>
      </w:tblPr>
      <w:tblGrid>
        <w:gridCol w:w="4997"/>
        <w:gridCol w:w="4997"/>
      </w:tblGrid>
      <w:tr>
        <w:tc>
          <w:tcPr>
            <w:tcW w:type="dxa" w:w="4997"/>
            <w:shd w:fill="171717"/>
          </w:tcPr>
          <w:p>
            <w:r>
              <w:rPr>
                <w:b/>
                <w:color w:val="FFFFFF"/>
                <w:sz w:val="17"/>
              </w:rPr>
              <w:t>Asset</w:t>
            </w:r>
          </w:p>
        </w:tc>
        <w:tc>
          <w:tcPr>
            <w:tcW w:type="dxa" w:w="4997"/>
            <w:shd w:fill="171717"/>
          </w:tcPr>
          <w:p>
            <w:r>
              <w:rPr>
                <w:b/>
                <w:color w:val="FFFFFF"/>
                <w:sz w:val="17"/>
              </w:rPr>
              <w:t>Protection / action</w:t>
            </w:r>
          </w:p>
        </w:tc>
      </w:tr>
      <w:tr>
        <w:tc>
          <w:tcPr>
            <w:tcW w:type="dxa" w:w="4997"/>
          </w:tcPr>
          <w:p>
            <w:pPr>
              <w:spacing w:after="0"/>
            </w:pPr>
            <w:r>
              <w:rPr>
                <w:sz w:val="17"/>
              </w:rPr>
              <w:t>Nod source code</w:t>
            </w:r>
          </w:p>
        </w:tc>
        <w:tc>
          <w:tcPr>
            <w:tcW w:type="dxa" w:w="4997"/>
          </w:tcPr>
          <w:p>
            <w:pPr>
              <w:spacing w:after="0"/>
            </w:pPr>
            <w:r>
              <w:rPr>
                <w:sz w:val="17"/>
              </w:rPr>
              <w:t>Copyright; contributor ownership chain; optional Nigerian copyright notification/registration evidence.</w:t>
            </w:r>
          </w:p>
        </w:tc>
      </w:tr>
      <w:tr>
        <w:tc>
          <w:tcPr>
            <w:tcW w:type="dxa" w:w="4997"/>
            <w:shd w:fill="FAFAFA"/>
          </w:tcPr>
          <w:p>
            <w:pPr>
              <w:spacing w:after="0"/>
            </w:pPr>
            <w:r>
              <w:rPr>
                <w:sz w:val="17"/>
              </w:rPr>
              <w:t>Nod protocol/documentation</w:t>
            </w:r>
          </w:p>
        </w:tc>
        <w:tc>
          <w:tcPr>
            <w:tcW w:type="dxa" w:w="4997"/>
            <w:shd w:fill="FAFAFA"/>
          </w:tcPr>
          <w:p>
            <w:pPr>
              <w:spacing w:after="0"/>
            </w:pPr>
            <w:r>
              <w:rPr>
                <w:sz w:val="17"/>
              </w:rPr>
              <w:t>Copyright; confidential until publication decisions are made.</w:t>
            </w:r>
          </w:p>
        </w:tc>
      </w:tr>
      <w:tr>
        <w:tc>
          <w:tcPr>
            <w:tcW w:type="dxa" w:w="4997"/>
          </w:tcPr>
          <w:p>
            <w:pPr>
              <w:spacing w:after="0"/>
            </w:pPr>
            <w:r>
              <w:rPr>
                <w:sz w:val="17"/>
              </w:rPr>
              <w:t>Nod logo / artwork</w:t>
            </w:r>
          </w:p>
        </w:tc>
        <w:tc>
          <w:tcPr>
            <w:tcW w:type="dxa" w:w="4997"/>
          </w:tcPr>
          <w:p>
            <w:pPr>
              <w:spacing w:after="0"/>
            </w:pPr>
            <w:r>
              <w:rPr>
                <w:sz w:val="17"/>
              </w:rPr>
              <w:t>Copyright in artwork plus trademark protection strategy.</w:t>
            </w:r>
          </w:p>
        </w:tc>
      </w:tr>
      <w:tr>
        <w:tc>
          <w:tcPr>
            <w:tcW w:type="dxa" w:w="4997"/>
            <w:shd w:fill="FAFAFA"/>
          </w:tcPr>
          <w:p>
            <w:pPr>
              <w:spacing w:after="0"/>
            </w:pPr>
            <w:r>
              <w:rPr>
                <w:sz w:val="17"/>
              </w:rPr>
              <w:t>Nod name</w:t>
            </w:r>
          </w:p>
        </w:tc>
        <w:tc>
          <w:tcPr>
            <w:tcW w:type="dxa" w:w="4997"/>
            <w:shd w:fill="FAFAFA"/>
          </w:tcPr>
          <w:p>
            <w:pPr>
              <w:spacing w:after="0"/>
            </w:pPr>
            <w:r>
              <w:rPr>
                <w:sz w:val="17"/>
              </w:rPr>
              <w:t>Primarily trademark/trade-name strategy; copyright does not protect a name/title by itself.</w:t>
            </w:r>
          </w:p>
        </w:tc>
      </w:tr>
      <w:tr>
        <w:tc>
          <w:tcPr>
            <w:tcW w:type="dxa" w:w="4997"/>
          </w:tcPr>
          <w:p>
            <w:pPr>
              <w:spacing w:after="0"/>
            </w:pPr>
            <w:r>
              <w:rPr>
                <w:sz w:val="17"/>
              </w:rPr>
              <w:t>UI screens / illustrations</w:t>
            </w:r>
          </w:p>
        </w:tc>
        <w:tc>
          <w:tcPr>
            <w:tcW w:type="dxa" w:w="4997"/>
          </w:tcPr>
          <w:p>
            <w:pPr>
              <w:spacing w:after="0"/>
            </w:pPr>
            <w:r>
              <w:rPr>
                <w:sz w:val="17"/>
              </w:rPr>
              <w:t>Copyright in original visual works; maintain source files and creation records.</w:t>
            </w:r>
          </w:p>
        </w:tc>
      </w:tr>
      <w:tr>
        <w:tc>
          <w:tcPr>
            <w:tcW w:type="dxa" w:w="4997"/>
            <w:shd w:fill="FAFAFA"/>
          </w:tcPr>
          <w:p>
            <w:pPr>
              <w:spacing w:after="0"/>
            </w:pPr>
            <w:r>
              <w:rPr>
                <w:sz w:val="17"/>
              </w:rPr>
              <w:t>Open-source dependencies</w:t>
            </w:r>
          </w:p>
        </w:tc>
        <w:tc>
          <w:tcPr>
            <w:tcW w:type="dxa" w:w="4997"/>
            <w:shd w:fill="FAFAFA"/>
          </w:tcPr>
          <w:p>
            <w:pPr>
              <w:spacing w:after="0"/>
            </w:pPr>
            <w:r>
              <w:rPr>
                <w:sz w:val="17"/>
              </w:rPr>
              <w:t>Governed by third-party licences; preserve notices and source/offer obligations where applicable.</w:t>
            </w:r>
          </w:p>
        </w:tc>
      </w:tr>
    </w:tbl>
    <w:p>
      <w:pPr>
        <w:pStyle w:val="Heading1"/>
        <w:keepNext/>
      </w:pPr>
      <w:r>
        <w:t>2. Copyright notice</w:t>
      </w:r>
    </w:p>
    <w:tbl>
      <w:tblPr>
        <w:tblW w:type="auto" w:w="0"/>
        <w:jc w:val="center"/>
        <w:tblLook w:firstColumn="1" w:firstRow="1" w:lastColumn="0" w:lastRow="0" w:noHBand="0" w:noVBand="1" w:val="04A0"/>
      </w:tblPr>
      <w:tblGrid>
        <w:gridCol w:w="9994"/>
      </w:tblGrid>
      <w:tr>
        <w:tc>
          <w:tcPr>
            <w:tcW w:type="dxa" w:w="9994"/>
            <w:shd w:fill="F4FFE6"/>
            <w:tcBorders>
              <w:left w:val="single" w:sz="18" w:color="BFFF00"/>
            </w:tcBorders>
          </w:tcPr>
          <w:p>
            <w:r>
              <w:rPr>
                <w:b/>
                <w:color w:val="171717"/>
              </w:rPr>
              <w:t>Production notice</w:t>
              <w:br/>
            </w:r>
            <w:r>
              <w:t>© 2026 [NOD OWNER / LEGAL ENTITY]. All rights reserved, except for third-party components made available under their respective licences.</w:t>
            </w:r>
          </w:p>
        </w:tc>
      </w:tr>
    </w:tbl>
    <w:p>
      <w:r>
        <w:t>Under Nigerian copyright law, protection generally arises automatically when an eligible original work is created/fixed; the Nigerian Copyright Commission also operates a voluntary registration/notification system. Computer programs are treated as literary works for copyright purposes. Registration is useful evidentiary/administrative support but is not the condition that creates copyright.</w:t>
      </w:r>
    </w:p>
    <w:p>
      <w:pPr>
        <w:pStyle w:val="Heading1"/>
        <w:keepNext/>
      </w:pPr>
      <w:r>
        <w:t>3. Registration package checklist</w:t>
      </w:r>
    </w:p>
    <w:p>
      <w:pPr>
        <w:pStyle w:val="ListBullet"/>
      </w:pPr>
      <w:r>
        <w:t>Confirm legal copyright owner.</w:t>
      </w:r>
    </w:p>
    <w:p>
      <w:pPr>
        <w:pStyle w:val="ListBullet"/>
      </w:pPr>
      <w:r>
        <w:t>Prepare representative source-code deposit/material as permitted by registration process and confidentiality strategy.</w:t>
      </w:r>
    </w:p>
    <w:p>
      <w:pPr>
        <w:pStyle w:val="ListBullet"/>
      </w:pPr>
      <w:r>
        <w:t>Register/notify software/documentation with NCC if owner decides the evidentiary value is worthwhile.</w:t>
      </w:r>
    </w:p>
    <w:p>
      <w:pPr>
        <w:pStyle w:val="ListBullet"/>
      </w:pPr>
      <w:r>
        <w:t>Retain Git history, design source files, dated specifications and signed contributor assignments.</w:t>
      </w:r>
    </w:p>
    <w:p>
      <w:pPr>
        <w:pStyle w:val="ListBullet"/>
      </w:pPr>
      <w:r>
        <w:t>Maintain release archive identifying exact version corresponding to any registration submission.</w:t>
      </w:r>
    </w:p>
    <w:p>
      <w:pPr>
        <w:pStyle w:val="Heading1"/>
        <w:keepNext/>
      </w:pPr>
      <w:r>
        <w:t>4. Trademark strategy</w:t>
      </w:r>
    </w:p>
    <w:p>
      <w:pPr>
        <w:pStyle w:val="ListBullet"/>
      </w:pPr>
      <w:r>
        <w:t>Perform professional clearance search for “Nod” and the locked logo in relevant classes/jurisdictions before launch investment.</w:t>
      </w:r>
    </w:p>
    <w:p>
      <w:pPr>
        <w:pStyle w:val="ListBullet"/>
      </w:pPr>
      <w:r>
        <w:t>File word mark and/or device/logo mark as advised by trademark counsel.</w:t>
      </w:r>
    </w:p>
    <w:p>
      <w:pPr>
        <w:pStyle w:val="ListBullet"/>
      </w:pPr>
      <w:r>
        <w:t>Do not place ® unless registration has actually issued in the relevant jurisdiction.</w:t>
      </w:r>
    </w:p>
    <w:p>
      <w:pPr>
        <w:pStyle w:val="ListBullet"/>
      </w:pPr>
      <w:r>
        <w:t>Use ™ where appropriate as an unregistered claim only after counsel/brand review.</w:t>
      </w:r>
    </w:p>
    <w:p>
      <w:pPr>
        <w:pStyle w:val="ListBullet"/>
      </w:pPr>
      <w:r>
        <w:t>Maintain evidence of first commercial use and brand guidelines.</w:t>
      </w:r>
    </w:p>
    <w:p>
      <w:pPr>
        <w:pStyle w:val="Heading1"/>
        <w:keepNext/>
      </w:pPr>
      <w:r>
        <w:t>5. Brand usage policy</w:t>
      </w:r>
    </w:p>
    <w:p>
      <w:pPr>
        <w:pStyle w:val="ListBullet"/>
      </w:pPr>
      <w:r>
        <w:t>The uploaded Nod logo is locked; do not redraw, distort, recolor or alter proportions without brand-owner approval.</w:t>
      </w:r>
    </w:p>
    <w:p>
      <w:pPr>
        <w:pStyle w:val="ListBullet"/>
      </w:pPr>
      <w:r>
        <w:t>Approved core palette: #BFFF00, #FFFFFF, #171717, #F4FFE6.</w:t>
      </w:r>
    </w:p>
    <w:p>
      <w:pPr>
        <w:pStyle w:val="ListBullet"/>
      </w:pPr>
      <w:r>
        <w:t>Keep clear space around the wordmark and ensure contrast.</w:t>
      </w:r>
    </w:p>
    <w:p>
      <w:pPr>
        <w:pStyle w:val="ListBullet"/>
      </w:pPr>
      <w:r>
        <w:t>Third parties may not imply endorsement, partnership or official status without written permission.</w:t>
      </w:r>
    </w:p>
    <w:p>
      <w:pPr>
        <w:pStyle w:val="Heading1"/>
        <w:keepNext/>
      </w:pPr>
      <w:r>
        <w:t>6. Open-source software policy</w:t>
      </w:r>
    </w:p>
    <w:p>
      <w:pPr>
        <w:pStyle w:val="ListNumber"/>
      </w:pPr>
      <w:r>
        <w:t>Every dependency is recorded with package, version, source, licence, purpose and transitive-risk notes.</w:t>
      </w:r>
    </w:p>
    <w:p>
      <w:pPr>
        <w:pStyle w:val="ListNumber"/>
      </w:pPr>
      <w:r>
        <w:t>No dependency is added to production without licence compatibility review.</w:t>
      </w:r>
    </w:p>
    <w:p>
      <w:pPr>
        <w:pStyle w:val="ListNumber"/>
      </w:pPr>
      <w:r>
        <w:t>Copyleft/network-copyleft licences receive explicit legal/engineering review before use.</w:t>
      </w:r>
    </w:p>
    <w:p>
      <w:pPr>
        <w:pStyle w:val="ListNumber"/>
      </w:pPr>
      <w:r>
        <w:t>At release, generate Third-Party Notices containing all required attributions and licence texts/links.</w:t>
      </w:r>
    </w:p>
    <w:p>
      <w:pPr>
        <w:pStyle w:val="ListNumber"/>
      </w:pPr>
      <w:r>
        <w:t>Source-offer or redistribution obligations are satisfied where applicable.</w:t>
      </w:r>
    </w:p>
    <w:p>
      <w:pPr>
        <w:pStyle w:val="ListNumber"/>
      </w:pPr>
      <w:r>
        <w:t>Security/maintenance status is evaluated alongside licence terms.</w:t>
      </w:r>
    </w:p>
    <w:p>
      <w:pPr>
        <w:pStyle w:val="Heading1"/>
        <w:keepNext/>
      </w:pPr>
      <w:r>
        <w:t>7. Third-Party Notices template</w:t>
      </w:r>
    </w:p>
    <w:p>
      <w:r>
        <w:t>Component: [NAME]</w:t>
        <w:br/>
        <w:t>Version: [VERSION]</w:t>
        <w:br/>
        <w:t>Copyright: [THIRD-PARTY NOTICE]</w:t>
        <w:br/>
        <w:t>Licence: [SPDX/NAME]</w:t>
        <w:br/>
        <w:t>Source: [URL]</w:t>
        <w:br/>
        <w:t>Required notice/text: [INSERT]</w:t>
        <w:br/>
        <w:t>Nod modifications: [IF ANY]</w:t>
      </w:r>
    </w:p>
    <w:p>
      <w:pPr>
        <w:pStyle w:val="Heading1"/>
        <w:keepNext/>
      </w:pPr>
      <w:r>
        <w:t>Authoritative references</w:t>
      </w:r>
    </w:p>
    <w:p>
      <w:r>
        <w:t>These links are included for implementation and legal review. Requirements can change; verify them again immediately before release.</w:t>
      </w:r>
    </w:p>
    <w:p>
      <w:pPr>
        <w:pStyle w:val="ListBullet"/>
      </w:pPr>
      <w:r>
        <w:rPr>
          <w:b/>
        </w:rPr>
        <w:t xml:space="preserve">Nigeria Data Protection Act 2023: </w:t>
      </w:r>
      <w:r>
        <w:t>https://ndpc.gov.ng/download/nigeria-data-protection-act-2023</w:t>
      </w:r>
    </w:p>
    <w:p>
      <w:pPr>
        <w:pStyle w:val="ListBullet"/>
      </w:pPr>
      <w:r>
        <w:rPr>
          <w:b/>
        </w:rPr>
        <w:t xml:space="preserve">NDP Act General Application and Implementation Directive (GAID) 2025: </w:t>
      </w:r>
      <w:r>
        <w:t>https://ndpc.gov.ng/wp-content/uploads/2025/07/NDP-ACT-GAID-2025-MARCH-20TH.pdf</w:t>
      </w:r>
    </w:p>
    <w:p>
      <w:pPr>
        <w:pStyle w:val="ListBullet"/>
      </w:pPr>
      <w:r>
        <w:rPr>
          <w:b/>
        </w:rPr>
        <w:t xml:space="preserve">Nigeria Data Protection Commission resources: </w:t>
      </w:r>
      <w:r>
        <w:t>https://ndpc.gov.ng/resources/</w:t>
      </w:r>
    </w:p>
    <w:p>
      <w:pPr>
        <w:pStyle w:val="ListBullet"/>
      </w:pPr>
      <w:r>
        <w:rPr>
          <w:b/>
        </w:rPr>
        <w:t xml:space="preserve">Copyright Act 2022 - Nigerian Copyright Commission: </w:t>
      </w:r>
      <w:r>
        <w:t>https://www.copyright.gov.ng/CopyrightAct/</w:t>
      </w:r>
    </w:p>
    <w:p>
      <w:pPr>
        <w:pStyle w:val="ListBullet"/>
      </w:pPr>
      <w:r>
        <w:rPr>
          <w:b/>
        </w:rPr>
        <w:t xml:space="preserve">Nigerian Copyright eRegistration System: </w:t>
      </w:r>
      <w:r>
        <w:t>https://eregistration.copyright.gov.ng/</w:t>
      </w:r>
    </w:p>
    <w:p>
      <w:pPr>
        <w:pStyle w:val="ListBullet"/>
      </w:pPr>
      <w:r>
        <w:rPr>
          <w:b/>
        </w:rPr>
        <w:t xml:space="preserve">Google Play - User Data policy: </w:t>
      </w:r>
      <w:r>
        <w:t>https://support.google.com/googleplay/android-developer/answer/10144311</w:t>
      </w:r>
    </w:p>
    <w:p>
      <w:pPr>
        <w:pStyle w:val="ListBullet"/>
      </w:pPr>
      <w:r>
        <w:rPr>
          <w:b/>
        </w:rPr>
        <w:t xml:space="preserve">Google Play - Prepare your app for review: </w:t>
      </w:r>
      <w:r>
        <w:t>https://support.google.com/googleplay/android-developer/answer/9859455</w:t>
      </w:r>
    </w:p>
    <w:p>
      <w:pPr>
        <w:pStyle w:val="ListBullet"/>
      </w:pPr>
      <w:r>
        <w:rPr>
          <w:b/>
        </w:rPr>
        <w:t xml:space="preserve">Google Play - Target API requirements: </w:t>
      </w:r>
      <w:r>
        <w:t>https://support.google.com/googleplay/android-developer/answer/11926878</w:t>
      </w:r>
    </w:p>
    <w:p>
      <w:pPr>
        <w:pStyle w:val="ListBullet"/>
      </w:pPr>
      <w:r>
        <w:rPr>
          <w:b/>
        </w:rPr>
        <w:t xml:space="preserve">Google Play - Foreground service requirements: </w:t>
      </w:r>
      <w:r>
        <w:t>https://support.google.com/googleplay/android-developer/answer/13392821</w:t>
      </w:r>
    </w:p>
    <w:p>
      <w:r>
        <w:br w:type="page"/>
      </w:r>
    </w:p>
    <w:p>
      <w:pPr>
        <w:jc w:val="center"/>
      </w:pPr>
      <w:r>
        <w:rPr>
          <w:b/>
          <w:color w:val="171717"/>
          <w:sz w:val="36"/>
        </w:rPr>
        <w:t>13 Nod Developer Contractor IP Assignment and NDA Template</w:t>
      </w:r>
    </w:p>
    <w:tbl>
      <w:tblPr>
        <w:tblW w:type="auto" w:w="0"/>
        <w:tblLook w:firstColumn="1" w:firstRow="1" w:lastColumn="0" w:lastRow="0" w:noHBand="0" w:noVBand="1" w:val="04A0"/>
      </w:tblPr>
      <w:tblGrid>
        <w:gridCol w:w="9994"/>
      </w:tblGrid>
      <w:tr>
        <w:tc>
          <w:tcPr>
            <w:tcW w:type="dxa" w:w="9994"/>
            <w:shd w:fill="BFFF00"/>
          </w:tcPr>
          <w:p>
            <w:r/>
          </w:p>
        </w:tc>
      </w:tr>
    </w:tbl>
    <w:tbl>
      <w:tblPr>
        <w:tblW w:type="auto" w:w="0"/>
        <w:jc w:val="center"/>
        <w:tblLook w:firstColumn="1" w:firstRow="1" w:lastColumn="0" w:lastRow="0" w:noHBand="0" w:noVBand="1" w:val="04A0"/>
      </w:tblPr>
      <w:tblGrid>
        <w:gridCol w:w="9994"/>
      </w:tblGrid>
      <w:tr>
        <w:tc>
          <w:tcPr>
            <w:tcW w:type="dxa" w:w="9994"/>
            <w:shd w:fill="FFF4D6"/>
            <w:tcBorders>
              <w:left w:val="single" w:sz="18" w:color="BFFF00"/>
            </w:tcBorders>
          </w:tcPr>
          <w:p>
            <w:r>
              <w:rPr>
                <w:b/>
                <w:color w:val="171717"/>
              </w:rPr>
              <w:t>Do not sign without completion</w:t>
              <w:br/>
            </w:r>
            <w:r>
              <w:t>Insert parties, consideration/fees, scope, dates, governing law and any employment/contractor-specific clauses. Counsel should adapt this template to the actual relationship.</w:t>
            </w:r>
          </w:p>
        </w:tc>
      </w:tr>
    </w:tbl>
    <w:p>
      <w:pPr>
        <w:pStyle w:val="Heading1"/>
        <w:keepNext/>
      </w:pPr>
      <w:r>
        <w:t>1. Parties</w:t>
      </w:r>
    </w:p>
    <w:p>
      <w:r>
        <w:t>This Agreement is between [NOD OWNER / LEGAL ENTITY] (“Company”) and [CONTRIBUTOR / CONTRACTOR FULL LEGAL NAME] (“Contributor”), effective [DATE].</w:t>
      </w:r>
    </w:p>
    <w:p>
      <w:pPr>
        <w:pStyle w:val="Heading1"/>
        <w:keepNext/>
      </w:pPr>
      <w:r>
        <w:t>2. Services / contribution</w:t>
      </w:r>
    </w:p>
    <w:p>
      <w:r>
        <w:t>Contributor will perform the development, design, documentation, testing, research or other services described in Schedule A and will deliver all work product, source files, credentials and documentation identified there.</w:t>
      </w:r>
    </w:p>
    <w:p>
      <w:pPr>
        <w:pStyle w:val="Heading1"/>
        <w:keepNext/>
      </w:pPr>
      <w:r>
        <w:t>3. Ownership and assignment</w:t>
      </w:r>
    </w:p>
    <w:p>
      <w:r>
        <w:t>To the fullest extent permitted by law, Contributor assigns to Company all transferable economic rights, title and interest in work product created specifically for Nod under the engagement, including source code, designs, specifications, documentation, test assets and original graphics, upon the agreed consideration/payment terms. Where rights cannot legally be assigned, Contributor grants the broadest exclusive, irrevocable, worldwide, perpetual licence permitted by law for Company to use, reproduce, modify, distribute, commercialize and sublicense the work product.</w:t>
      </w:r>
    </w:p>
    <w:p>
      <w:pPr>
        <w:pStyle w:val="Heading1"/>
        <w:keepNext/>
      </w:pPr>
      <w:r>
        <w:t>4. Pre-existing materials</w:t>
      </w:r>
    </w:p>
    <w:p>
      <w:r>
        <w:t>Contributor must identify in Schedule B any pre-existing code, tools, fonts, assets, templates, libraries or other materials incorporated into the work. No undisclosed third-party material may be included. Open-source components must be listed with exact licence and version.</w:t>
      </w:r>
    </w:p>
    <w:p>
      <w:pPr>
        <w:pStyle w:val="Heading1"/>
        <w:keepNext/>
      </w:pPr>
      <w:r>
        <w:t>5. Moral rights / consents</w:t>
      </w:r>
    </w:p>
    <w:p>
      <w:r>
        <w:t>To the extent permitted by applicable law, Contributor consents to Company’s editing, adaptation, combination and commercialization of work product and agrees not to assert waivable moral rights against authorized Company use. Non-waivable rights remain subject to law.</w:t>
      </w:r>
    </w:p>
    <w:p>
      <w:pPr>
        <w:pStyle w:val="Heading1"/>
        <w:keepNext/>
      </w:pPr>
      <w:r>
        <w:t>6. Confidentiality</w:t>
      </w:r>
    </w:p>
    <w:p>
      <w:r>
        <w:t>Contributor shall protect non-public Nod source code, product plans, protocol details, credentials, security findings, business information and user/test data and shall use them only to perform the engagement. Confidentiality does not apply to information independently developed, lawfully known without restriction, or public through no breach.</w:t>
      </w:r>
    </w:p>
    <w:p>
      <w:pPr>
        <w:pStyle w:val="Heading1"/>
        <w:keepNext/>
      </w:pPr>
      <w:r>
        <w:t>7. Security</w:t>
      </w:r>
    </w:p>
    <w:p>
      <w:pPr>
        <w:pStyle w:val="ListBullet"/>
      </w:pPr>
      <w:r>
        <w:t>No production secrets in personal/public repositories.</w:t>
      </w:r>
    </w:p>
    <w:p>
      <w:pPr>
        <w:pStyle w:val="ListBullet"/>
      </w:pPr>
      <w:r>
        <w:t>Report suspected credential leak/security defect promptly.</w:t>
      </w:r>
    </w:p>
    <w:p>
      <w:pPr>
        <w:pStyle w:val="ListBullet"/>
      </w:pPr>
      <w:r>
        <w:t>Use Company-approved access controls and return/delete confidential materials at engagement end.</w:t>
      </w:r>
    </w:p>
    <w:p>
      <w:pPr>
        <w:pStyle w:val="ListBullet"/>
      </w:pPr>
      <w:r>
        <w:t>Do not use real user personal data for development unless expressly authorized and protected.</w:t>
      </w:r>
    </w:p>
    <w:p>
      <w:pPr>
        <w:pStyle w:val="Heading1"/>
        <w:keepNext/>
      </w:pPr>
      <w:r>
        <w:t>8. Warranties</w:t>
      </w:r>
    </w:p>
    <w:p>
      <w:r>
        <w:t>Contributor warrants that, to their knowledge, the original work product is created by them or lawfully licensed, does not knowingly infringe third-party rights, and contains no intentionally concealed malicious functionality. Any third-party/open-source materials must be disclosed.</w:t>
      </w:r>
    </w:p>
    <w:p>
      <w:pPr>
        <w:pStyle w:val="Heading1"/>
        <w:keepNext/>
      </w:pPr>
      <w:r>
        <w:t>9. Further assurances</w:t>
      </w:r>
    </w:p>
    <w:p>
      <w:r>
        <w:t>Contributor will execute reasonable documents needed to evidence the assignment/registration of Company rights in the work product, subject to agreed reimbursement of extraordinary expenses.</w:t>
      </w:r>
    </w:p>
    <w:p>
      <w:pPr>
        <w:pStyle w:val="Heading1"/>
        <w:keepNext/>
      </w:pPr>
      <w:r>
        <w:t>10. Governing law / entire agreement</w:t>
      </w:r>
    </w:p>
    <w:p>
      <w:r>
        <w:t>[INSERT COUNSEL-APPROVED GOVERNING LAW, DISPUTE FORUM, INDEPENDENT CONTRACTOR/EMPLOYMENT STATUS, PAYMENT, TERMINATION, TAX, LIABILITY AND ENTIRE-AGREEMENT CLAUSES].</w:t>
      </w:r>
    </w:p>
    <w:p>
      <w:pPr>
        <w:pStyle w:val="Heading1"/>
        <w:keepNext/>
      </w:pPr>
      <w:r>
        <w:t>Schedule A - Deliverables</w:t>
      </w:r>
    </w:p>
    <w:p>
      <w:r>
        <w:t>[LIST MODULES / DESIGNS / DOCUMENTS / DEADLINES / ACCEPTANCE / PAYMENT MILESTONES]</w:t>
      </w:r>
    </w:p>
    <w:p>
      <w:pPr>
        <w:pStyle w:val="Heading1"/>
        <w:keepNext/>
      </w:pPr>
      <w:r>
        <w:t>Schedule B - Pre-existing / third-party materials</w:t>
      </w:r>
    </w:p>
    <w:p>
      <w:r>
        <w:t>[NONE, or list every item, version, licence and repository/source URL]</w:t>
      </w:r>
    </w:p>
    <w:p>
      <w:pPr>
        <w:pStyle w:val="Heading1"/>
        <w:keepNext/>
      </w:pPr>
      <w:r>
        <w:t>Signatures</w:t>
      </w:r>
    </w:p>
    <w:tbl>
      <w:tblPr>
        <w:tblStyle w:val="TableGrid"/>
        <w:tblW w:type="auto" w:w="0"/>
        <w:jc w:val="center"/>
        <w:tblLook w:firstColumn="1" w:firstRow="1" w:lastColumn="0" w:lastRow="0" w:noHBand="0" w:noVBand="1" w:val="04A0"/>
      </w:tblPr>
      <w:tblGrid>
        <w:gridCol w:w="4997"/>
        <w:gridCol w:w="4997"/>
      </w:tblGrid>
      <w:tr>
        <w:tc>
          <w:tcPr>
            <w:tcW w:type="dxa" w:w="4997"/>
            <w:shd w:fill="171717"/>
          </w:tcPr>
          <w:p>
            <w:r>
              <w:rPr>
                <w:b/>
                <w:color w:val="FFFFFF"/>
                <w:sz w:val="17"/>
              </w:rPr>
              <w:t>Company</w:t>
            </w:r>
          </w:p>
        </w:tc>
        <w:tc>
          <w:tcPr>
            <w:tcW w:type="dxa" w:w="4997"/>
            <w:shd w:fill="171717"/>
          </w:tcPr>
          <w:p>
            <w:r>
              <w:rPr>
                <w:b/>
                <w:color w:val="FFFFFF"/>
                <w:sz w:val="17"/>
              </w:rPr>
              <w:t>Contributor</w:t>
            </w:r>
          </w:p>
        </w:tc>
      </w:tr>
      <w:tr>
        <w:tc>
          <w:tcPr>
            <w:tcW w:type="dxa" w:w="4997"/>
          </w:tcPr>
          <w:p>
            <w:pPr>
              <w:spacing w:after="0"/>
            </w:pPr>
            <w:r>
              <w:rPr>
                <w:sz w:val="17"/>
              </w:rPr>
              <w:t>Name: __________________</w:t>
              <w:br/>
              <w:t>Title: __________________</w:t>
              <w:br/>
              <w:t>Signature: ______________</w:t>
              <w:br/>
              <w:t>Date: __________________</w:t>
            </w:r>
          </w:p>
        </w:tc>
        <w:tc>
          <w:tcPr>
            <w:tcW w:type="dxa" w:w="4997"/>
          </w:tcPr>
          <w:p>
            <w:pPr>
              <w:spacing w:after="0"/>
            </w:pPr>
            <w:r>
              <w:rPr>
                <w:sz w:val="17"/>
              </w:rPr>
              <w:t>Name: __________________</w:t>
              <w:br/>
              <w:t>Signature: ______________</w:t>
              <w:br/>
              <w:t>Date: __________________</w:t>
            </w:r>
          </w:p>
        </w:tc>
      </w:tr>
    </w:tbl>
    <w:p>
      <w:r>
        <w:br w:type="page"/>
      </w:r>
    </w:p>
    <w:p>
      <w:pPr>
        <w:jc w:val="center"/>
      </w:pPr>
      <w:r>
        <w:rPr>
          <w:b/>
          <w:color w:val="171717"/>
          <w:sz w:val="36"/>
        </w:rPr>
        <w:t>14 Nod Google Play Data Safety Listing Compliance Workbook</w:t>
      </w:r>
    </w:p>
    <w:tbl>
      <w:tblPr>
        <w:tblW w:type="auto" w:w="0"/>
        <w:tblLook w:firstColumn="1" w:firstRow="1" w:lastColumn="0" w:lastRow="0" w:noHBand="0" w:noVBand="1" w:val="04A0"/>
      </w:tblPr>
      <w:tblGrid>
        <w:gridCol w:w="9994"/>
      </w:tblGrid>
      <w:tr>
        <w:tc>
          <w:tcPr>
            <w:tcW w:type="dxa" w:w="9994"/>
            <w:shd w:fill="BFFF00"/>
          </w:tcPr>
          <w:p>
            <w:r/>
          </w:p>
        </w:tc>
      </w:tr>
    </w:tbl>
    <w:p>
      <w:pPr>
        <w:pStyle w:val="Heading1"/>
        <w:keepNext/>
      </w:pPr>
      <w:r>
        <w:t>1. Release assumptions</w:t>
      </w:r>
    </w:p>
    <w:p>
      <w:pPr>
        <w:pStyle w:val="ListBullet"/>
      </w:pPr>
      <w:r>
        <w:t>Android mobile app.</w:t>
      </w:r>
    </w:p>
    <w:p>
      <w:pPr>
        <w:pStyle w:val="ListBullet"/>
      </w:pPr>
      <w:r>
        <w:t>New public Google Play submission after 31 August 2026 -&gt; target API 36+ required.</w:t>
      </w:r>
    </w:p>
    <w:p>
      <w:pPr>
        <w:pStyle w:val="ListBullet"/>
      </w:pPr>
      <w:r>
        <w:t>No user account for v1.</w:t>
      </w:r>
    </w:p>
    <w:p>
      <w:pPr>
        <w:pStyle w:val="ListBullet"/>
      </w:pPr>
      <w:r>
        <w:t>Sensitive permissions/capabilities are feature-driven.</w:t>
      </w:r>
    </w:p>
    <w:p>
      <w:pPr>
        <w:pStyle w:val="ListBullet"/>
      </w:pPr>
      <w:r>
        <w:t>Foreground service may be used for user-enabled Always Ready/Quick Nod behavior.</w:t>
      </w:r>
    </w:p>
    <w:p>
      <w:pPr>
        <w:pStyle w:val="Heading1"/>
        <w:keepNext/>
      </w:pPr>
      <w:r>
        <w:t>2. Data Safety working inventory</w:t>
      </w:r>
    </w:p>
    <w:tbl>
      <w:tblPr>
        <w:tblW w:type="auto" w:w="0"/>
        <w:jc w:val="center"/>
        <w:tblLook w:firstColumn="1" w:firstRow="1" w:lastColumn="0" w:lastRow="0" w:noHBand="0" w:noVBand="1" w:val="04A0"/>
      </w:tblPr>
      <w:tblGrid>
        <w:gridCol w:w="9994"/>
      </w:tblGrid>
      <w:tr>
        <w:tc>
          <w:tcPr>
            <w:tcW w:type="dxa" w:w="9994"/>
            <w:shd w:fill="F4FFE6"/>
            <w:tcBorders>
              <w:left w:val="single" w:sz="18" w:color="BFFF00"/>
            </w:tcBorders>
          </w:tcPr>
          <w:p>
            <w:r>
              <w:rPr>
                <w:b/>
                <w:color w:val="171717"/>
              </w:rPr>
              <w:t>Do not copy blindly into Play Console</w:t>
              <w:br/>
            </w:r>
            <w:r>
              <w:t>Play Data Safety must be answered from the final binary and every included SDK. “Processed only on device” can be treated differently from “collected” under Play definitions; verify current Play guidance at submission time.</w:t>
            </w:r>
          </w:p>
        </w:tc>
      </w:tr>
    </w:tbl>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171717"/>
          </w:tcPr>
          <w:p>
            <w:r>
              <w:rPr>
                <w:b/>
                <w:color w:val="FFFFFF"/>
                <w:sz w:val="17"/>
              </w:rPr>
              <w:t>Data category</w:t>
            </w:r>
          </w:p>
        </w:tc>
        <w:tc>
          <w:tcPr>
            <w:tcW w:type="dxa" w:w="2498"/>
            <w:shd w:fill="171717"/>
          </w:tcPr>
          <w:p>
            <w:r>
              <w:rPr>
                <w:b/>
                <w:color w:val="FFFFFF"/>
                <w:sz w:val="17"/>
              </w:rPr>
              <w:t>App purpose</w:t>
            </w:r>
          </w:p>
        </w:tc>
        <w:tc>
          <w:tcPr>
            <w:tcW w:type="dxa" w:w="2498"/>
            <w:shd w:fill="171717"/>
          </w:tcPr>
          <w:p>
            <w:r>
              <w:rPr>
                <w:b/>
                <w:color w:val="FFFFFF"/>
                <w:sz w:val="17"/>
              </w:rPr>
              <w:t>Expected handling</w:t>
            </w:r>
          </w:p>
        </w:tc>
        <w:tc>
          <w:tcPr>
            <w:tcW w:type="dxa" w:w="2498"/>
            <w:shd w:fill="171717"/>
          </w:tcPr>
          <w:p>
            <w:r>
              <w:rPr>
                <w:b/>
                <w:color w:val="FFFFFF"/>
                <w:sz w:val="17"/>
              </w:rPr>
              <w:t>Submission action</w:t>
            </w:r>
          </w:p>
        </w:tc>
      </w:tr>
      <w:tr>
        <w:tc>
          <w:tcPr>
            <w:tcW w:type="dxa" w:w="2498"/>
          </w:tcPr>
          <w:p>
            <w:pPr>
              <w:spacing w:after="0"/>
            </w:pPr>
            <w:r>
              <w:rPr>
                <w:sz w:val="17"/>
              </w:rPr>
              <w:t>Name/contact info</w:t>
            </w:r>
          </w:p>
        </w:tc>
        <w:tc>
          <w:tcPr>
            <w:tcW w:type="dxa" w:w="2498"/>
          </w:tcPr>
          <w:p>
            <w:pPr>
              <w:spacing w:after="0"/>
            </w:pPr>
            <w:r>
              <w:rPr>
                <w:sz w:val="17"/>
              </w:rPr>
              <w:t>Local Nod Profile and user-directed contact sharing</w:t>
            </w:r>
          </w:p>
        </w:tc>
        <w:tc>
          <w:tcPr>
            <w:tcW w:type="dxa" w:w="2498"/>
          </w:tcPr>
          <w:p>
            <w:pPr>
              <w:spacing w:after="0"/>
            </w:pPr>
            <w:r>
              <w:rPr>
                <w:sz w:val="17"/>
              </w:rPr>
              <w:t>Primarily on device; shared to chosen peer</w:t>
            </w:r>
          </w:p>
        </w:tc>
        <w:tc>
          <w:tcPr>
            <w:tcW w:type="dxa" w:w="2498"/>
          </w:tcPr>
          <w:p>
            <w:pPr>
              <w:spacing w:after="0"/>
            </w:pPr>
            <w:r>
              <w:rPr>
                <w:sz w:val="17"/>
              </w:rPr>
              <w:t>Verify whether Play treats local-only handling as collected; disclose any SDK collection.</w:t>
            </w:r>
          </w:p>
        </w:tc>
      </w:tr>
      <w:tr>
        <w:tc>
          <w:tcPr>
            <w:tcW w:type="dxa" w:w="2498"/>
            <w:shd w:fill="FAFAFA"/>
          </w:tcPr>
          <w:p>
            <w:pPr>
              <w:spacing w:after="0"/>
            </w:pPr>
            <w:r>
              <w:rPr>
                <w:sz w:val="17"/>
              </w:rPr>
              <w:t>Photos/videos/files</w:t>
            </w:r>
          </w:p>
        </w:tc>
        <w:tc>
          <w:tcPr>
            <w:tcW w:type="dxa" w:w="2498"/>
            <w:shd w:fill="FAFAFA"/>
          </w:tcPr>
          <w:p>
            <w:pPr>
              <w:spacing w:after="0"/>
            </w:pPr>
            <w:r>
              <w:rPr>
                <w:sz w:val="17"/>
              </w:rPr>
              <w:t>User-directed transfer</w:t>
            </w:r>
          </w:p>
        </w:tc>
        <w:tc>
          <w:tcPr>
            <w:tcW w:type="dxa" w:w="2498"/>
            <w:shd w:fill="FAFAFA"/>
          </w:tcPr>
          <w:p>
            <w:pPr>
              <w:spacing w:after="0"/>
            </w:pPr>
            <w:r>
              <w:rPr>
                <w:sz w:val="17"/>
              </w:rPr>
              <w:t>Selected content to nearby peer</w:t>
            </w:r>
          </w:p>
        </w:tc>
        <w:tc>
          <w:tcPr>
            <w:tcW w:type="dxa" w:w="2498"/>
            <w:shd w:fill="FAFAFA"/>
          </w:tcPr>
          <w:p>
            <w:pPr>
              <w:spacing w:after="0"/>
            </w:pPr>
            <w:r>
              <w:rPr>
                <w:sz w:val="17"/>
              </w:rPr>
              <w:t>Verify SDK path and transient handling.</w:t>
            </w:r>
          </w:p>
        </w:tc>
      </w:tr>
      <w:tr>
        <w:tc>
          <w:tcPr>
            <w:tcW w:type="dxa" w:w="2498"/>
          </w:tcPr>
          <w:p>
            <w:pPr>
              <w:spacing w:after="0"/>
            </w:pPr>
            <w:r>
              <w:rPr>
                <w:sz w:val="17"/>
              </w:rPr>
              <w:t>Camera</w:t>
            </w:r>
          </w:p>
        </w:tc>
        <w:tc>
          <w:tcPr>
            <w:tcW w:type="dxa" w:w="2498"/>
          </w:tcPr>
          <w:p>
            <w:pPr>
              <w:spacing w:after="0"/>
            </w:pPr>
            <w:r>
              <w:rPr>
                <w:sz w:val="17"/>
              </w:rPr>
              <w:t>Number scanner</w:t>
            </w:r>
          </w:p>
        </w:tc>
        <w:tc>
          <w:tcPr>
            <w:tcW w:type="dxa" w:w="2498"/>
          </w:tcPr>
          <w:p>
            <w:pPr>
              <w:spacing w:after="0"/>
            </w:pPr>
            <w:r>
              <w:rPr>
                <w:sz w:val="17"/>
              </w:rPr>
              <w:t>On-device analysis</w:t>
            </w:r>
          </w:p>
        </w:tc>
        <w:tc>
          <w:tcPr>
            <w:tcW w:type="dxa" w:w="2498"/>
          </w:tcPr>
          <w:p>
            <w:pPr>
              <w:spacing w:after="0"/>
            </w:pPr>
            <w:r>
              <w:rPr>
                <w:sz w:val="17"/>
              </w:rPr>
              <w:t>Declare permission/use; verify ML Kit bundled model behavior.</w:t>
            </w:r>
          </w:p>
        </w:tc>
      </w:tr>
      <w:tr>
        <w:tc>
          <w:tcPr>
            <w:tcW w:type="dxa" w:w="2498"/>
            <w:shd w:fill="FAFAFA"/>
          </w:tcPr>
          <w:p>
            <w:pPr>
              <w:spacing w:after="0"/>
            </w:pPr>
            <w:r>
              <w:rPr>
                <w:sz w:val="17"/>
              </w:rPr>
              <w:t>Device/other identifiers</w:t>
            </w:r>
          </w:p>
        </w:tc>
        <w:tc>
          <w:tcPr>
            <w:tcW w:type="dxa" w:w="2498"/>
            <w:shd w:fill="FAFAFA"/>
          </w:tcPr>
          <w:p>
            <w:pPr>
              <w:spacing w:after="0"/>
            </w:pPr>
            <w:r>
              <w:rPr>
                <w:sz w:val="17"/>
              </w:rPr>
              <w:t>Nearby endpoint/session identifiers</w:t>
            </w:r>
          </w:p>
        </w:tc>
        <w:tc>
          <w:tcPr>
            <w:tcW w:type="dxa" w:w="2498"/>
            <w:shd w:fill="FAFAFA"/>
          </w:tcPr>
          <w:p>
            <w:pPr>
              <w:spacing w:after="0"/>
            </w:pPr>
            <w:r>
              <w:rPr>
                <w:sz w:val="17"/>
              </w:rPr>
              <w:t>Connectivity/session</w:t>
            </w:r>
          </w:p>
        </w:tc>
        <w:tc>
          <w:tcPr>
            <w:tcW w:type="dxa" w:w="2498"/>
            <w:shd w:fill="FAFAFA"/>
          </w:tcPr>
          <w:p>
            <w:pPr>
              <w:spacing w:after="0"/>
            </w:pPr>
            <w:r>
              <w:rPr>
                <w:sz w:val="17"/>
              </w:rPr>
              <w:t>Inventory Google Play services behavior.</w:t>
            </w:r>
          </w:p>
        </w:tc>
      </w:tr>
      <w:tr>
        <w:tc>
          <w:tcPr>
            <w:tcW w:type="dxa" w:w="2498"/>
          </w:tcPr>
          <w:p>
            <w:pPr>
              <w:spacing w:after="0"/>
            </w:pPr>
            <w:r>
              <w:rPr>
                <w:sz w:val="17"/>
              </w:rPr>
              <w:t>App interactions / diagnostics</w:t>
            </w:r>
          </w:p>
        </w:tc>
        <w:tc>
          <w:tcPr>
            <w:tcW w:type="dxa" w:w="2498"/>
          </w:tcPr>
          <w:p>
            <w:pPr>
              <w:spacing w:after="0"/>
            </w:pPr>
            <w:r>
              <w:rPr>
                <w:sz w:val="17"/>
              </w:rPr>
              <w:t>Local state/support</w:t>
            </w:r>
          </w:p>
        </w:tc>
        <w:tc>
          <w:tcPr>
            <w:tcW w:type="dxa" w:w="2498"/>
          </w:tcPr>
          <w:p>
            <w:pPr>
              <w:spacing w:after="0"/>
            </w:pPr>
            <w:r>
              <w:rPr>
                <w:sz w:val="17"/>
              </w:rPr>
              <w:t>No Nod analytics by default</w:t>
            </w:r>
          </w:p>
        </w:tc>
        <w:tc>
          <w:tcPr>
            <w:tcW w:type="dxa" w:w="2498"/>
          </w:tcPr>
          <w:p>
            <w:pPr>
              <w:spacing w:after="0"/>
            </w:pPr>
            <w:r>
              <w:rPr>
                <w:sz w:val="17"/>
              </w:rPr>
              <w:t>If crash/analytics SDK added, update policy/Data Safety first.</w:t>
            </w:r>
          </w:p>
        </w:tc>
      </w:tr>
    </w:tbl>
    <w:p>
      <w:pPr>
        <w:pStyle w:val="Heading1"/>
        <w:keepNext/>
      </w:pPr>
      <w:r>
        <w:t>3. App content declarations</w:t>
      </w:r>
    </w:p>
    <w:p>
      <w:pPr>
        <w:pStyle w:val="ListBullet"/>
      </w:pPr>
      <w:r>
        <w:t>Privacy Policy URL and in-app access.</w:t>
      </w:r>
    </w:p>
    <w:p>
      <w:pPr>
        <w:pStyle w:val="ListBullet"/>
      </w:pPr>
      <w:r>
        <w:t>Data Safety form.</w:t>
      </w:r>
    </w:p>
    <w:p>
      <w:pPr>
        <w:pStyle w:val="ListBullet"/>
      </w:pPr>
      <w:r>
        <w:t>Ads declaration: expected No for v1 unless monetization changes.</w:t>
      </w:r>
    </w:p>
    <w:p>
      <w:pPr>
        <w:pStyle w:val="ListBullet"/>
      </w:pPr>
      <w:r>
        <w:t>App access: explain no login if applicable.</w:t>
      </w:r>
    </w:p>
    <w:p>
      <w:pPr>
        <w:pStyle w:val="ListBullet"/>
      </w:pPr>
      <w:r>
        <w:t>Target audience and content.</w:t>
      </w:r>
    </w:p>
    <w:p>
      <w:pPr>
        <w:pStyle w:val="ListBullet"/>
      </w:pPr>
      <w:r>
        <w:t>Content rating questionnaire.</w:t>
      </w:r>
    </w:p>
    <w:p>
      <w:pPr>
        <w:pStyle w:val="ListBullet"/>
      </w:pPr>
      <w:r>
        <w:t>Foreground service declaration with use description and demonstration video if required.</w:t>
      </w:r>
    </w:p>
    <w:p>
      <w:pPr>
        <w:pStyle w:val="ListBullet"/>
      </w:pPr>
      <w:r>
        <w:t>Permissions declarations where Play classifies permissions as restricted/sensitive.</w:t>
      </w:r>
    </w:p>
    <w:p>
      <w:pPr>
        <w:pStyle w:val="Heading1"/>
        <w:keepNext/>
      </w:pPr>
      <w:r>
        <w:t>4. Store listing draft</w:t>
      </w:r>
    </w:p>
    <w:p>
      <w:r>
        <w:t>App name: Nod</w:t>
      </w:r>
    </w:p>
    <w:p>
      <w:r>
        <w:t>Short description draft: Share contacts and files with nearby Android devices - direct, private by design, and built for quick offline exchange.</w:t>
      </w:r>
    </w:p>
    <w:p>
      <w:r>
        <w:t>Long description themes: no account required for core exchange; verified nearby connection; choose exactly what to share; photos/videos/documents; Quick Nod; local profile; explicit consent. Avoid unsupported superlatives or absolute security/privacy claims.</w:t>
      </w:r>
    </w:p>
    <w:p>
      <w:pPr>
        <w:pStyle w:val="Heading1"/>
        <w:keepNext/>
      </w:pPr>
      <w:r>
        <w:t>5. Visual assets checklist</w:t>
      </w:r>
    </w:p>
    <w:p>
      <w:pPr>
        <w:pStyle w:val="ListBullet"/>
      </w:pPr>
      <w:r>
        <w:t>Final app icon derived from locked Nod mark.</w:t>
      </w:r>
    </w:p>
    <w:p>
      <w:pPr>
        <w:pStyle w:val="ListBullet"/>
      </w:pPr>
      <w:r>
        <w:t>Feature graphic using approved palette.</w:t>
      </w:r>
    </w:p>
    <w:p>
      <w:pPr>
        <w:pStyle w:val="ListBullet"/>
      </w:pPr>
      <w:r>
        <w:t>Phone screenshots from actual release build, not misleading concept screens.</w:t>
      </w:r>
    </w:p>
    <w:p>
      <w:pPr>
        <w:pStyle w:val="ListBullet"/>
      </w:pPr>
      <w:r>
        <w:t>Optional demonstration video if used; foreground-service video may be separately required for policy review.</w:t>
      </w:r>
    </w:p>
    <w:p>
      <w:pPr>
        <w:pStyle w:val="Heading1"/>
        <w:keepNext/>
      </w:pPr>
      <w:r>
        <w:t>6. Review notes template</w:t>
      </w:r>
    </w:p>
    <w:p>
      <w:r>
        <w:t>Core test flow: Open Nod -&gt; start Send/Receive -&gt; grant nearby permission -&gt; pair two devices -&gt; verify matching code -&gt; select/approve content -&gt; transfer. Always Ready is optional and can be enabled in Settings -&gt; Quick Nod. No login is required.</w:t>
      </w:r>
    </w:p>
    <w:p>
      <w:pPr>
        <w:pStyle w:val="Heading1"/>
        <w:keepNext/>
      </w:pPr>
      <w:r>
        <w:t>7. Pre-submission audit</w:t>
      </w:r>
    </w:p>
    <w:p>
      <w:pPr>
        <w:pStyle w:val="ListBullet"/>
      </w:pPr>
      <w:r>
        <w:t>Final binary’s permissions equal documentation.</w:t>
      </w:r>
    </w:p>
    <w:p>
      <w:pPr>
        <w:pStyle w:val="ListBullet"/>
      </w:pPr>
      <w:r>
        <w:t>Privacy policy equals final data practices.</w:t>
      </w:r>
    </w:p>
    <w:p>
      <w:pPr>
        <w:pStyle w:val="ListBullet"/>
      </w:pPr>
      <w:r>
        <w:t>SDK versions/licences reviewed.</w:t>
      </w:r>
    </w:p>
    <w:p>
      <w:pPr>
        <w:pStyle w:val="ListBullet"/>
      </w:pPr>
      <w:r>
        <w:t>Foreground service types match actual use.</w:t>
      </w:r>
    </w:p>
    <w:p>
      <w:pPr>
        <w:pStyle w:val="ListBullet"/>
      </w:pPr>
      <w:r>
        <w:t>Target API compliant.</w:t>
      </w:r>
    </w:p>
    <w:p>
      <w:pPr>
        <w:pStyle w:val="ListBullet"/>
      </w:pPr>
      <w:r>
        <w:t>Content rating and age settings match product.</w:t>
      </w:r>
    </w:p>
    <w:p>
      <w:pPr>
        <w:pStyle w:val="ListBullet"/>
      </w:pPr>
      <w:r>
        <w:t>Public support/privacy URLs return 200 and are readable without login.</w:t>
      </w:r>
    </w:p>
    <w:p>
      <w:pPr>
        <w:pStyle w:val="ListBullet"/>
      </w:pPr>
      <w:r>
        <w:t>No placeholder legal fields remain.</w:t>
      </w:r>
    </w:p>
    <w:p>
      <w:pPr>
        <w:pStyle w:val="Heading1"/>
        <w:keepNext/>
      </w:pPr>
      <w:r>
        <w:t>Authoritative references</w:t>
      </w:r>
    </w:p>
    <w:p>
      <w:r>
        <w:t>These links are included for implementation and legal review. Requirements can change; verify them again immediately before release.</w:t>
      </w:r>
    </w:p>
    <w:p>
      <w:pPr>
        <w:pStyle w:val="ListBullet"/>
      </w:pPr>
      <w:r>
        <w:rPr>
          <w:b/>
        </w:rPr>
        <w:t xml:space="preserve">Nigeria Data Protection Act 2023: </w:t>
      </w:r>
      <w:r>
        <w:t>https://ndpc.gov.ng/download/nigeria-data-protection-act-2023</w:t>
      </w:r>
    </w:p>
    <w:p>
      <w:pPr>
        <w:pStyle w:val="ListBullet"/>
      </w:pPr>
      <w:r>
        <w:rPr>
          <w:b/>
        </w:rPr>
        <w:t xml:space="preserve">NDP Act General Application and Implementation Directive (GAID) 2025: </w:t>
      </w:r>
      <w:r>
        <w:t>https://ndpc.gov.ng/wp-content/uploads/2025/07/NDP-ACT-GAID-2025-MARCH-20TH.pdf</w:t>
      </w:r>
    </w:p>
    <w:p>
      <w:pPr>
        <w:pStyle w:val="ListBullet"/>
      </w:pPr>
      <w:r>
        <w:rPr>
          <w:b/>
        </w:rPr>
        <w:t xml:space="preserve">Nigeria Data Protection Commission resources: </w:t>
      </w:r>
      <w:r>
        <w:t>https://ndpc.gov.ng/resources/</w:t>
      </w:r>
    </w:p>
    <w:p>
      <w:pPr>
        <w:pStyle w:val="ListBullet"/>
      </w:pPr>
      <w:r>
        <w:rPr>
          <w:b/>
        </w:rPr>
        <w:t xml:space="preserve">Copyright Act 2022 - Nigerian Copyright Commission: </w:t>
      </w:r>
      <w:r>
        <w:t>https://www.copyright.gov.ng/CopyrightAct/</w:t>
      </w:r>
    </w:p>
    <w:p>
      <w:pPr>
        <w:pStyle w:val="ListBullet"/>
      </w:pPr>
      <w:r>
        <w:rPr>
          <w:b/>
        </w:rPr>
        <w:t xml:space="preserve">Nigerian Copyright eRegistration System: </w:t>
      </w:r>
      <w:r>
        <w:t>https://eregistration.copyright.gov.ng/</w:t>
      </w:r>
    </w:p>
    <w:p>
      <w:pPr>
        <w:pStyle w:val="ListBullet"/>
      </w:pPr>
      <w:r>
        <w:rPr>
          <w:b/>
        </w:rPr>
        <w:t xml:space="preserve">Google Play - User Data policy: </w:t>
      </w:r>
      <w:r>
        <w:t>https://support.google.com/googleplay/android-developer/answer/10144311</w:t>
      </w:r>
    </w:p>
    <w:p>
      <w:pPr>
        <w:pStyle w:val="ListBullet"/>
      </w:pPr>
      <w:r>
        <w:rPr>
          <w:b/>
        </w:rPr>
        <w:t xml:space="preserve">Google Play - Prepare your app for review: </w:t>
      </w:r>
      <w:r>
        <w:t>https://support.google.com/googleplay/android-developer/answer/9859455</w:t>
      </w:r>
    </w:p>
    <w:p>
      <w:pPr>
        <w:pStyle w:val="ListBullet"/>
      </w:pPr>
      <w:r>
        <w:rPr>
          <w:b/>
        </w:rPr>
        <w:t xml:space="preserve">Google Play - Target API requirements: </w:t>
      </w:r>
      <w:r>
        <w:t>https://support.google.com/googleplay/android-developer/answer/11926878</w:t>
      </w:r>
    </w:p>
    <w:p>
      <w:pPr>
        <w:pStyle w:val="ListBullet"/>
      </w:pPr>
      <w:r>
        <w:rPr>
          <w:b/>
        </w:rPr>
        <w:t xml:space="preserve">Google Play - Foreground service requirements: </w:t>
      </w:r>
      <w:r>
        <w:t>https://support.google.com/googleplay/android-developer/answer/13392821</w:t>
      </w:r>
    </w:p>
    <w:p>
      <w:r>
        <w:br w:type="page"/>
      </w:r>
    </w:p>
    <w:p>
      <w:pPr>
        <w:jc w:val="center"/>
      </w:pPr>
      <w:r>
        <w:rPr>
          <w:b/>
          <w:color w:val="171717"/>
          <w:sz w:val="36"/>
        </w:rPr>
        <w:t>15 Nod Security Incident Vulnerability Disclosure and Support</w:t>
      </w:r>
    </w:p>
    <w:tbl>
      <w:tblPr>
        <w:tblW w:type="auto" w:w="0"/>
        <w:tblLook w:firstColumn="1" w:firstRow="1" w:lastColumn="0" w:lastRow="0" w:noHBand="0" w:noVBand="1" w:val="04A0"/>
      </w:tblPr>
      <w:tblGrid>
        <w:gridCol w:w="9994"/>
      </w:tblGrid>
      <w:tr>
        <w:tc>
          <w:tcPr>
            <w:tcW w:type="dxa" w:w="9994"/>
            <w:shd w:fill="BFFF00"/>
          </w:tcPr>
          <w:p>
            <w:r/>
          </w:p>
        </w:tc>
      </w:tr>
    </w:tbl>
    <w:p>
      <w:pPr>
        <w:pStyle w:val="Heading1"/>
        <w:keepNext/>
      </w:pPr>
      <w:r>
        <w:t>1. Incident severity</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71717"/>
          </w:tcPr>
          <w:p>
            <w:r>
              <w:rPr>
                <w:b/>
                <w:color w:val="FFFFFF"/>
                <w:sz w:val="17"/>
              </w:rPr>
              <w:t>Severity</w:t>
            </w:r>
          </w:p>
        </w:tc>
        <w:tc>
          <w:tcPr>
            <w:tcW w:type="dxa" w:w="3331"/>
            <w:shd w:fill="171717"/>
          </w:tcPr>
          <w:p>
            <w:r>
              <w:rPr>
                <w:b/>
                <w:color w:val="FFFFFF"/>
                <w:sz w:val="17"/>
              </w:rPr>
              <w:t>Examples</w:t>
            </w:r>
          </w:p>
        </w:tc>
        <w:tc>
          <w:tcPr>
            <w:tcW w:type="dxa" w:w="3331"/>
            <w:shd w:fill="171717"/>
          </w:tcPr>
          <w:p>
            <w:r>
              <w:rPr>
                <w:b/>
                <w:color w:val="FFFFFF"/>
                <w:sz w:val="17"/>
              </w:rPr>
              <w:t>Response</w:t>
            </w:r>
          </w:p>
        </w:tc>
      </w:tr>
      <w:tr>
        <w:tc>
          <w:tcPr>
            <w:tcW w:type="dxa" w:w="3331"/>
          </w:tcPr>
          <w:p>
            <w:pPr>
              <w:spacing w:after="0"/>
            </w:pPr>
            <w:r>
              <w:rPr>
                <w:sz w:val="17"/>
              </w:rPr>
              <w:t>Critical</w:t>
            </w:r>
          </w:p>
        </w:tc>
        <w:tc>
          <w:tcPr>
            <w:tcW w:type="dxa" w:w="3331"/>
          </w:tcPr>
          <w:p>
            <w:pPr>
              <w:spacing w:after="0"/>
            </w:pPr>
            <w:r>
              <w:rPr>
                <w:sz w:val="17"/>
              </w:rPr>
              <w:t>Key compromise; exploitable remote code execution; systematic disclosure of user content</w:t>
            </w:r>
          </w:p>
        </w:tc>
        <w:tc>
          <w:tcPr>
            <w:tcW w:type="dxa" w:w="3331"/>
          </w:tcPr>
          <w:p>
            <w:pPr>
              <w:spacing w:after="0"/>
            </w:pPr>
            <w:r>
              <w:rPr>
                <w:sz w:val="17"/>
              </w:rPr>
              <w:t>Immediate release stop/rollback, incident lead, containment, counsel/privacy escalation.</w:t>
            </w:r>
          </w:p>
        </w:tc>
      </w:tr>
      <w:tr>
        <w:tc>
          <w:tcPr>
            <w:tcW w:type="dxa" w:w="3331"/>
            <w:shd w:fill="FAFAFA"/>
          </w:tcPr>
          <w:p>
            <w:pPr>
              <w:spacing w:after="0"/>
            </w:pPr>
            <w:r>
              <w:rPr>
                <w:sz w:val="17"/>
              </w:rPr>
              <w:t>High</w:t>
            </w:r>
          </w:p>
        </w:tc>
        <w:tc>
          <w:tcPr>
            <w:tcW w:type="dxa" w:w="3331"/>
            <w:shd w:fill="FAFAFA"/>
          </w:tcPr>
          <w:p>
            <w:pPr>
              <w:spacing w:after="0"/>
            </w:pPr>
            <w:r>
              <w:rPr>
                <w:sz w:val="17"/>
              </w:rPr>
              <w:t>Authentication bypass; unauthorized profile exposure; widespread transfer integrity failure</w:t>
            </w:r>
          </w:p>
        </w:tc>
        <w:tc>
          <w:tcPr>
            <w:tcW w:type="dxa" w:w="3331"/>
            <w:shd w:fill="FAFAFA"/>
          </w:tcPr>
          <w:p>
            <w:pPr>
              <w:spacing w:after="0"/>
            </w:pPr>
            <w:r>
              <w:rPr>
                <w:sz w:val="17"/>
              </w:rPr>
              <w:t>Prioritized containment and hotfix; assess notification obligations.</w:t>
            </w:r>
          </w:p>
        </w:tc>
      </w:tr>
      <w:tr>
        <w:tc>
          <w:tcPr>
            <w:tcW w:type="dxa" w:w="3331"/>
          </w:tcPr>
          <w:p>
            <w:pPr>
              <w:spacing w:after="0"/>
            </w:pPr>
            <w:r>
              <w:rPr>
                <w:sz w:val="17"/>
              </w:rPr>
              <w:t>Medium</w:t>
            </w:r>
          </w:p>
        </w:tc>
        <w:tc>
          <w:tcPr>
            <w:tcW w:type="dxa" w:w="3331"/>
          </w:tcPr>
          <w:p>
            <w:pPr>
              <w:spacing w:after="0"/>
            </w:pPr>
            <w:r>
              <w:rPr>
                <w:sz w:val="17"/>
              </w:rPr>
              <w:t>Localized privacy bug, denial of service, limited data exposure</w:t>
            </w:r>
          </w:p>
        </w:tc>
        <w:tc>
          <w:tcPr>
            <w:tcW w:type="dxa" w:w="3331"/>
          </w:tcPr>
          <w:p>
            <w:pPr>
              <w:spacing w:after="0"/>
            </w:pPr>
            <w:r>
              <w:rPr>
                <w:sz w:val="17"/>
              </w:rPr>
              <w:t>Triage, fix in scheduled security release based on risk.</w:t>
            </w:r>
          </w:p>
        </w:tc>
      </w:tr>
      <w:tr>
        <w:tc>
          <w:tcPr>
            <w:tcW w:type="dxa" w:w="3331"/>
            <w:shd w:fill="FAFAFA"/>
          </w:tcPr>
          <w:p>
            <w:pPr>
              <w:spacing w:after="0"/>
            </w:pPr>
            <w:r>
              <w:rPr>
                <w:sz w:val="17"/>
              </w:rPr>
              <w:t>Low</w:t>
            </w:r>
          </w:p>
        </w:tc>
        <w:tc>
          <w:tcPr>
            <w:tcW w:type="dxa" w:w="3331"/>
            <w:shd w:fill="FAFAFA"/>
          </w:tcPr>
          <w:p>
            <w:pPr>
              <w:spacing w:after="0"/>
            </w:pPr>
            <w:r>
              <w:rPr>
                <w:sz w:val="17"/>
              </w:rPr>
              <w:t>Hardening issue with no practical exploit</w:t>
            </w:r>
          </w:p>
        </w:tc>
        <w:tc>
          <w:tcPr>
            <w:tcW w:type="dxa" w:w="3331"/>
            <w:shd w:fill="FAFAFA"/>
          </w:tcPr>
          <w:p>
            <w:pPr>
              <w:spacing w:after="0"/>
            </w:pPr>
            <w:r>
              <w:rPr>
                <w:sz w:val="17"/>
              </w:rPr>
              <w:t>Track and remediate normally.</w:t>
            </w:r>
          </w:p>
        </w:tc>
      </w:tr>
    </w:tbl>
    <w:p>
      <w:pPr>
        <w:pStyle w:val="Heading1"/>
        <w:keepNext/>
      </w:pPr>
      <w:r>
        <w:t>2. Incident workflow</w:t>
      </w:r>
    </w:p>
    <w:p>
      <w:pPr>
        <w:pStyle w:val="ListNumber"/>
      </w:pPr>
      <w:r>
        <w:t>Detect/report.</w:t>
      </w:r>
    </w:p>
    <w:p>
      <w:pPr>
        <w:pStyle w:val="ListNumber"/>
      </w:pPr>
      <w:r>
        <w:t>Preserve relevant logs/build/version evidence without collecting unnecessary user content.</w:t>
      </w:r>
    </w:p>
    <w:p>
      <w:pPr>
        <w:pStyle w:val="ListNumber"/>
      </w:pPr>
      <w:r>
        <w:t>Classify severity and affected versions.</w:t>
      </w:r>
    </w:p>
    <w:p>
      <w:pPr>
        <w:pStyle w:val="ListNumber"/>
      </w:pPr>
      <w:r>
        <w:t>Contain: disable rollout, revoke credentials or publish mitigation where possible.</w:t>
      </w:r>
    </w:p>
    <w:p>
      <w:pPr>
        <w:pStyle w:val="ListNumber"/>
      </w:pPr>
      <w:r>
        <w:t>Eradicate root cause and test fix.</w:t>
      </w:r>
    </w:p>
    <w:p>
      <w:pPr>
        <w:pStyle w:val="ListNumber"/>
      </w:pPr>
      <w:r>
        <w:t>Assess legal/regulatory/user notification duties with counsel/DPO.</w:t>
      </w:r>
    </w:p>
    <w:p>
      <w:pPr>
        <w:pStyle w:val="ListNumber"/>
      </w:pPr>
      <w:r>
        <w:t>Release staged remediation.</w:t>
      </w:r>
    </w:p>
    <w:p>
      <w:pPr>
        <w:pStyle w:val="ListNumber"/>
      </w:pPr>
      <w:r>
        <w:t>Post-incident review and update threat model/tests.</w:t>
      </w:r>
    </w:p>
    <w:p>
      <w:pPr>
        <w:pStyle w:val="Heading1"/>
        <w:keepNext/>
      </w:pPr>
      <w:r>
        <w:t>3. Vulnerability disclosure policy - public draft</w:t>
      </w:r>
    </w:p>
    <w:p>
      <w:r>
        <w:t>If you believe you found a security vulnerability in Nod, contact [SECURITY EMAIL]. Include the affected app version, device/Android version, reproduction steps and impact. Do not access, alter, retain or publicly disclose other users’ data. We will acknowledge valid reports as reasonably practicable, investigate in good faith and provide status updates where appropriate. This policy does not authorize unlawful testing, denial-of-service attacks, social engineering, physical attacks, or testing of systems you do not own or have permission to test.</w:t>
      </w:r>
    </w:p>
    <w:p>
      <w:pPr>
        <w:pStyle w:val="Heading1"/>
        <w:keepNext/>
      </w:pPr>
      <w:r>
        <w:t>4. Support policy</w:t>
      </w:r>
    </w:p>
    <w:p>
      <w:pPr>
        <w:pStyle w:val="ListBullet"/>
      </w:pPr>
      <w:r>
        <w:t>Primary support: [SUPPORT EMAIL].</w:t>
      </w:r>
    </w:p>
    <w:p>
      <w:pPr>
        <w:pStyle w:val="ListBullet"/>
      </w:pPr>
      <w:r>
        <w:t>Collect only information necessary to troubleshoot.</w:t>
      </w:r>
    </w:p>
    <w:p>
      <w:pPr>
        <w:pStyle w:val="ListBullet"/>
      </w:pPr>
      <w:r>
        <w:t>Never ask users to email private transferred files or full contact databases unless strictly necessary and expressly consented.</w:t>
      </w:r>
    </w:p>
    <w:p>
      <w:pPr>
        <w:pStyle w:val="ListBullet"/>
      </w:pPr>
      <w:r>
        <w:t>Provide a diagnostics export feature that redacts content and sensitive profile fields before any remote support workflow is introduced.</w:t>
      </w:r>
    </w:p>
    <w:p>
      <w:pPr>
        <w:pStyle w:val="ListBullet"/>
      </w:pPr>
      <w:r>
        <w:t>Record recurring OEM/permission issues in a compatibility knowledge base.</w:t>
      </w:r>
    </w:p>
    <w:p>
      <w:pPr>
        <w:pStyle w:val="Heading1"/>
        <w:keepNext/>
      </w:pPr>
      <w:r>
        <w:t>5. Complaint handling</w:t>
      </w:r>
    </w:p>
    <w:p>
      <w:pPr>
        <w:pStyle w:val="ListNumber"/>
      </w:pPr>
      <w:r>
        <w:t>Acknowledge complaint.</w:t>
      </w:r>
    </w:p>
    <w:p>
      <w:pPr>
        <w:pStyle w:val="ListNumber"/>
      </w:pPr>
      <w:r>
        <w:t>Categorize technical, privacy, abuse or billing issue.</w:t>
      </w:r>
    </w:p>
    <w:p>
      <w:pPr>
        <w:pStyle w:val="ListNumber"/>
      </w:pPr>
      <w:r>
        <w:t>Escalate privacy/security complaints to designated owner.</w:t>
      </w:r>
    </w:p>
    <w:p>
      <w:pPr>
        <w:pStyle w:val="ListNumber"/>
      </w:pPr>
      <w:r>
        <w:t>Document resolution and systemic corrective action.</w:t>
      </w:r>
    </w:p>
    <w:p>
      <w:pPr>
        <w:pStyle w:val="ListNumber"/>
      </w:pPr>
      <w:r>
        <w:t>Retain complaint records according to a defined operational retention schedule, not indefinitely.</w:t>
      </w:r>
    </w:p>
    <w:p>
      <w:r>
        <w:br w:type="page"/>
      </w:r>
    </w:p>
    <w:p>
      <w:pPr>
        <w:jc w:val="center"/>
      </w:pPr>
      <w:r>
        <w:rPr>
          <w:b/>
          <w:color w:val="171717"/>
          <w:sz w:val="36"/>
        </w:rPr>
        <w:t>16 Nod Change Management Maintenance and End of Life Policy</w:t>
      </w:r>
    </w:p>
    <w:tbl>
      <w:tblPr>
        <w:tblW w:type="auto" w:w="0"/>
        <w:tblLook w:firstColumn="1" w:firstRow="1" w:lastColumn="0" w:lastRow="0" w:noHBand="0" w:noVBand="1" w:val="04A0"/>
      </w:tblPr>
      <w:tblGrid>
        <w:gridCol w:w="9994"/>
      </w:tblGrid>
      <w:tr>
        <w:tc>
          <w:tcPr>
            <w:tcW w:type="dxa" w:w="9994"/>
            <w:shd w:fill="BFFF00"/>
          </w:tcPr>
          <w:p>
            <w:r/>
          </w:p>
        </w:tc>
      </w:tr>
    </w:tbl>
    <w:p>
      <w:pPr>
        <w:pStyle w:val="Heading1"/>
        <w:keepNext/>
      </w:pPr>
      <w:r>
        <w:t>1. Versioning</w:t>
      </w:r>
    </w:p>
    <w:p>
      <w:pPr>
        <w:pStyle w:val="ListBullet"/>
      </w:pPr>
      <w:r>
        <w:t>App semantic version: MAJOR.MINOR.PATCH for product releases.</w:t>
      </w:r>
    </w:p>
    <w:p>
      <w:pPr>
        <w:pStyle w:val="ListBullet"/>
      </w:pPr>
      <w:r>
        <w:t>Protocol has its own major/minor compatibility version.</w:t>
      </w:r>
    </w:p>
    <w:p>
      <w:pPr>
        <w:pStyle w:val="ListBullet"/>
      </w:pPr>
      <w:r>
        <w:t>Database schema migrations are versioned and tested from supported upgrade paths.</w:t>
      </w:r>
    </w:p>
    <w:p>
      <w:pPr>
        <w:pStyle w:val="ListBullet"/>
      </w:pPr>
      <w:r>
        <w:t>Every production build maps to immutable source commit/tag and dependency lock state.</w:t>
      </w:r>
    </w:p>
    <w:p>
      <w:pPr>
        <w:pStyle w:val="Heading1"/>
        <w:keepNext/>
      </w:pPr>
      <w:r>
        <w:t>2. Change classes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71717"/>
          </w:tcPr>
          <w:p>
            <w:r>
              <w:rPr>
                <w:b/>
                <w:color w:val="FFFFFF"/>
                <w:sz w:val="17"/>
              </w:rPr>
              <w:t>Class</w:t>
            </w:r>
          </w:p>
        </w:tc>
        <w:tc>
          <w:tcPr>
            <w:tcW w:type="dxa" w:w="3331"/>
            <w:shd w:fill="171717"/>
          </w:tcPr>
          <w:p>
            <w:r>
              <w:rPr>
                <w:b/>
                <w:color w:val="FFFFFF"/>
                <w:sz w:val="17"/>
              </w:rPr>
              <w:t>Examples</w:t>
            </w:r>
          </w:p>
        </w:tc>
        <w:tc>
          <w:tcPr>
            <w:tcW w:type="dxa" w:w="3331"/>
            <w:shd w:fill="171717"/>
          </w:tcPr>
          <w:p>
            <w:r>
              <w:rPr>
                <w:b/>
                <w:color w:val="FFFFFF"/>
                <w:sz w:val="17"/>
              </w:rPr>
              <w:t>Required review</w:t>
            </w:r>
          </w:p>
        </w:tc>
      </w:tr>
      <w:tr>
        <w:tc>
          <w:tcPr>
            <w:tcW w:type="dxa" w:w="3331"/>
          </w:tcPr>
          <w:p>
            <w:pPr>
              <w:spacing w:after="0"/>
            </w:pPr>
            <w:r>
              <w:rPr>
                <w:sz w:val="17"/>
              </w:rPr>
              <w:t>Security-critical</w:t>
            </w:r>
          </w:p>
        </w:tc>
        <w:tc>
          <w:tcPr>
            <w:tcW w:type="dxa" w:w="3331"/>
          </w:tcPr>
          <w:p>
            <w:pPr>
              <w:spacing w:after="0"/>
            </w:pPr>
            <w:r>
              <w:rPr>
                <w:sz w:val="17"/>
              </w:rPr>
              <w:t>Pairing, crypto, permissions, file finalization</w:t>
            </w:r>
          </w:p>
        </w:tc>
        <w:tc>
          <w:tcPr>
            <w:tcW w:type="dxa" w:w="3331"/>
          </w:tcPr>
          <w:p>
            <w:pPr>
              <w:spacing w:after="0"/>
            </w:pPr>
            <w:r>
              <w:rPr>
                <w:sz w:val="17"/>
              </w:rPr>
              <w:t>Security + architecture + QA.</w:t>
            </w:r>
          </w:p>
        </w:tc>
      </w:tr>
      <w:tr>
        <w:tc>
          <w:tcPr>
            <w:tcW w:type="dxa" w:w="3331"/>
            <w:shd w:fill="FAFAFA"/>
          </w:tcPr>
          <w:p>
            <w:pPr>
              <w:spacing w:after="0"/>
            </w:pPr>
            <w:r>
              <w:rPr>
                <w:sz w:val="17"/>
              </w:rPr>
              <w:t>Privacy-impacting</w:t>
            </w:r>
          </w:p>
        </w:tc>
        <w:tc>
          <w:tcPr>
            <w:tcW w:type="dxa" w:w="3331"/>
            <w:shd w:fill="FAFAFA"/>
          </w:tcPr>
          <w:p>
            <w:pPr>
              <w:spacing w:after="0"/>
            </w:pPr>
            <w:r>
              <w:rPr>
                <w:sz w:val="17"/>
              </w:rPr>
              <w:t>New SDK, analytics, cloud service, new personal data field</w:t>
            </w:r>
          </w:p>
        </w:tc>
        <w:tc>
          <w:tcPr>
            <w:tcW w:type="dxa" w:w="3331"/>
            <w:shd w:fill="FAFAFA"/>
          </w:tcPr>
          <w:p>
            <w:pPr>
              <w:spacing w:after="0"/>
            </w:pPr>
            <w:r>
              <w:rPr>
                <w:sz w:val="17"/>
              </w:rPr>
              <w:t>DPIA/privacy policy/Data Safety review before merge/release.</w:t>
            </w:r>
          </w:p>
        </w:tc>
      </w:tr>
      <w:tr>
        <w:tc>
          <w:tcPr>
            <w:tcW w:type="dxa" w:w="3331"/>
          </w:tcPr>
          <w:p>
            <w:pPr>
              <w:spacing w:after="0"/>
            </w:pPr>
            <w:r>
              <w:rPr>
                <w:sz w:val="17"/>
              </w:rPr>
              <w:t>Protocol-breaking</w:t>
            </w:r>
          </w:p>
        </w:tc>
        <w:tc>
          <w:tcPr>
            <w:tcW w:type="dxa" w:w="3331"/>
          </w:tcPr>
          <w:p>
            <w:pPr>
              <w:spacing w:after="0"/>
            </w:pPr>
            <w:r>
              <w:rPr>
                <w:sz w:val="17"/>
              </w:rPr>
              <w:t>Envelope/message semantics</w:t>
            </w:r>
          </w:p>
        </w:tc>
        <w:tc>
          <w:tcPr>
            <w:tcW w:type="dxa" w:w="3331"/>
          </w:tcPr>
          <w:p>
            <w:pPr>
              <w:spacing w:after="0"/>
            </w:pPr>
            <w:r>
              <w:rPr>
                <w:sz w:val="17"/>
              </w:rPr>
              <w:t>Compatibility ADR, migration/deprecation plan, cross-version test.</w:t>
            </w:r>
          </w:p>
        </w:tc>
      </w:tr>
      <w:tr>
        <w:tc>
          <w:tcPr>
            <w:tcW w:type="dxa" w:w="3331"/>
            <w:shd w:fill="FAFAFA"/>
          </w:tcPr>
          <w:p>
            <w:pPr>
              <w:spacing w:after="0"/>
            </w:pPr>
            <w:r>
              <w:rPr>
                <w:sz w:val="17"/>
              </w:rPr>
              <w:t>UI-only</w:t>
            </w:r>
          </w:p>
        </w:tc>
        <w:tc>
          <w:tcPr>
            <w:tcW w:type="dxa" w:w="3331"/>
            <w:shd w:fill="FAFAFA"/>
          </w:tcPr>
          <w:p>
            <w:pPr>
              <w:spacing w:after="0"/>
            </w:pPr>
            <w:r>
              <w:rPr>
                <w:sz w:val="17"/>
              </w:rPr>
              <w:t>Copy/layout not affecting permissions/data</w:t>
            </w:r>
          </w:p>
        </w:tc>
        <w:tc>
          <w:tcPr>
            <w:tcW w:type="dxa" w:w="3331"/>
            <w:shd w:fill="FAFAFA"/>
          </w:tcPr>
          <w:p>
            <w:pPr>
              <w:spacing w:after="0"/>
            </w:pPr>
            <w:r>
              <w:rPr>
                <w:sz w:val="17"/>
              </w:rPr>
              <w:t>Design/accessibility QA.</w:t>
            </w:r>
          </w:p>
        </w:tc>
      </w:tr>
      <w:tr>
        <w:tc>
          <w:tcPr>
            <w:tcW w:type="dxa" w:w="3331"/>
          </w:tcPr>
          <w:p>
            <w:pPr>
              <w:spacing w:after="0"/>
            </w:pPr>
            <w:r>
              <w:rPr>
                <w:sz w:val="17"/>
              </w:rPr>
              <w:t>Dependency-only</w:t>
            </w:r>
          </w:p>
        </w:tc>
        <w:tc>
          <w:tcPr>
            <w:tcW w:type="dxa" w:w="3331"/>
          </w:tcPr>
          <w:p>
            <w:pPr>
              <w:spacing w:after="0"/>
            </w:pPr>
            <w:r>
              <w:rPr>
                <w:sz w:val="17"/>
              </w:rPr>
              <w:t>Library update</w:t>
            </w:r>
          </w:p>
        </w:tc>
        <w:tc>
          <w:tcPr>
            <w:tcW w:type="dxa" w:w="3331"/>
          </w:tcPr>
          <w:p>
            <w:pPr>
              <w:spacing w:after="0"/>
            </w:pPr>
            <w:r>
              <w:rPr>
                <w:sz w:val="17"/>
              </w:rPr>
              <w:t>Licence/security/regression review.</w:t>
            </w:r>
          </w:p>
        </w:tc>
      </w:tr>
    </w:tbl>
    <w:p>
      <w:pPr>
        <w:pStyle w:val="Heading1"/>
        <w:keepNext/>
      </w:pPr>
      <w:r>
        <w:t>3. Maintenance cadence</w:t>
      </w:r>
    </w:p>
    <w:p>
      <w:pPr>
        <w:pStyle w:val="ListBullet"/>
      </w:pPr>
      <w:r>
        <w:t>Monthly dependency/security review during active development.</w:t>
      </w:r>
    </w:p>
    <w:p>
      <w:pPr>
        <w:pStyle w:val="ListBullet"/>
      </w:pPr>
      <w:r>
        <w:t>Immediate review of critical Android/Google Play policy deadlines.</w:t>
      </w:r>
    </w:p>
    <w:p>
      <w:pPr>
        <w:pStyle w:val="ListBullet"/>
      </w:pPr>
      <w:r>
        <w:t>Quarterly re-validation of privacy policy and SDK inventory once public.</w:t>
      </w:r>
    </w:p>
    <w:p>
      <w:pPr>
        <w:pStyle w:val="ListBullet"/>
      </w:pPr>
      <w:r>
        <w:t>Annual threat model/DPIA review or earlier after material feature change.</w:t>
      </w:r>
    </w:p>
    <w:p>
      <w:pPr>
        <w:pStyle w:val="Heading1"/>
        <w:keepNext/>
      </w:pPr>
      <w:r>
        <w:t>4. End-of-life</w:t>
      </w:r>
    </w:p>
    <w:p>
      <w:r>
        <w:t>If Nod is discontinued, the operator should publish reasonable notice where practicable, explain which versions will stop receiving security updates, remove unsupported store listings when appropriate, and preserve users’ ability to access locally stored files/contact information through ordinary Android storage/contacts where the app architecture allows. Because v1 has no mandatory cloud account, service shutdown should not remotely delete user-owned files.</w:t>
      </w:r>
    </w:p>
    <w:p>
      <w:pPr>
        <w:pStyle w:val="Heading1"/>
        <w:keepNext/>
      </w:pPr>
      <w:r>
        <w:t>5. Policy synchronization rule</w:t>
      </w:r>
    </w:p>
    <w:tbl>
      <w:tblPr>
        <w:tblW w:type="auto" w:w="0"/>
        <w:jc w:val="center"/>
        <w:tblLook w:firstColumn="1" w:firstRow="1" w:lastColumn="0" w:lastRow="0" w:noHBand="0" w:noVBand="1" w:val="04A0"/>
      </w:tblPr>
      <w:tblGrid>
        <w:gridCol w:w="9994"/>
      </w:tblGrid>
      <w:tr>
        <w:tc>
          <w:tcPr>
            <w:tcW w:type="dxa" w:w="9994"/>
            <w:shd w:fill="F4FFE6"/>
            <w:tcBorders>
              <w:left w:val="single" w:sz="18" w:color="BFFF00"/>
            </w:tcBorders>
          </w:tcPr>
          <w:p>
            <w:r>
              <w:rPr>
                <w:b/>
                <w:color w:val="171717"/>
              </w:rPr>
              <w:t>One release, one truth</w:t>
              <w:br/>
            </w:r>
            <w:r>
              <w:t>A release is blocked when code behavior, Privacy Policy, Play Data Safety answers, permissions documentation, OSS notices or protocol documentation disagree materially.</w:t>
            </w:r>
          </w:p>
        </w:tc>
      </w:tr>
    </w:tbl>
    <w:p>
      <w:r>
        <w:br w:type="page"/>
      </w:r>
    </w:p>
    <w:sectPr w:rsidR="00FC693F" w:rsidRPr="0006063C" w:rsidSect="00034616">
      <w:headerReference w:type="default" r:id="rId9"/>
      <w:footerReference w:type="default" r:id="rId10"/>
      <w:pgSz w:w="12240" w:h="15840"/>
      <w:pgMar w:top="1080"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6"/>
      </w:rPr>
      <w:t xml:space="preserve">Nod - Closer. Faster. Yours.   |   Version 1.0   |   Controlled Draft   |   </w:t>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1078992" cy="488115"/>
          <wp:docPr id="1" name="Picture 1"/>
          <wp:cNvGraphicFramePr>
            <a:graphicFrameLocks noChangeAspect="1"/>
          </wp:cNvGraphicFramePr>
          <a:graphic>
            <a:graphicData uri="http://schemas.openxmlformats.org/drawingml/2006/picture">
              <pic:pic>
                <pic:nvPicPr>
                  <pic:cNvPr id="0" name="nod_logo_crop.png"/>
                  <pic:cNvPicPr/>
                </pic:nvPicPr>
                <pic:blipFill>
                  <a:blip r:embed="rId1"/>
                  <a:stretch>
                    <a:fillRect/>
                  </a:stretch>
                </pic:blipFill>
                <pic:spPr>
                  <a:xfrm>
                    <a:off x="0" y="0"/>
                    <a:ext cx="1078992" cy="488115"/>
                  </a:xfrm>
                  <a:prstGeom prst="rect"/>
                </pic:spPr>
              </pic:pic>
            </a:graphicData>
          </a:graphic>
        </wp:inline>
      </w:drawing>
    </w:r>
    <w:r>
      <w:rPr>
        <w:b/>
        <w:color w:val="6B7280"/>
        <w:sz w:val="18"/>
      </w:rPr>
      <w:t xml:space="preserve">    Master Product, Engineering, Legal &amp; Launch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7171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1717"/>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7171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7171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17171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dLabel">
    <w:name w:val="Nod Label"/>
    <w:rPr>
      <w:rFonts w:ascii="Arial" w:hAnsi="Arial"/>
      <w:b/>
      <w:color w:val="6B728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