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A3D62"/>
          <w:sz w:val="48"/>
          <w:szCs w:val="48"/>
        </w:rPr>
        <w:t xml:space="preserve">MEDIBANK NEXUS LIMITED</w:t>
      </w:r>
    </w:p>
    <w:p>
      <w:pPr>
        <w:spacing w:after="80"/>
        <w:jc w:val="center"/>
      </w:pPr>
      <w:r>
        <w:rPr>
          <w:rFonts w:ascii="Arial" w:cs="Arial" w:eastAsia="Arial" w:hAnsi="Arial"/>
          <w:b/>
          <w:bCs/>
          <w:color w:val="1A73E8"/>
          <w:sz w:val="36"/>
          <w:szCs w:val="36"/>
        </w:rPr>
        <w:t xml:space="preserve">EQUITY VESTING AGREEMENT</w:t>
      </w:r>
    </w:p>
    <w:p>
      <w:pPr>
        <w:spacing w:after="80"/>
        <w:jc w:val="center"/>
      </w:pPr>
      <w:r>
        <w:rPr>
          <w:rFonts w:ascii="Arial" w:cs="Arial" w:eastAsia="Arial" w:hAnsi="Arial"/>
          <w:b/>
          <w:bCs/>
          <w:color w:val="555555"/>
          <w:sz w:val="24"/>
          <w:szCs w:val="24"/>
        </w:rPr>
        <w:t xml:space="preserve">(Founder 2 — Chief Technology Officer)</w:t>
      </w:r>
    </w:p>
    <w:p>
      <w:pPr>
        <w:spacing w:after="480"/>
        <w:jc w:val="center"/>
      </w:pPr>
      <w:r>
        <w:rPr>
          <w:rFonts w:ascii="Arial" w:cs="Arial" w:eastAsia="Arial" w:hAnsi="Arial"/>
          <w:i/>
          <w:iCs/>
          <w:color w:val="555555"/>
          <w:sz w:val="22"/>
          <w:szCs w:val="22"/>
        </w:rPr>
        <w:t xml:space="preserve">Strictly Confidential</w:t>
      </w:r>
    </w:p>
    <w:p>
      <w:pPr>
        <w:pBdr>
          <w:bottom w:val="single" w:color="1A73E8" w:sz="4" w:space="1"/>
        </w:pBdr>
        <w:spacing w:after="24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Company</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MediBank Nexus Limited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Recipient (Grantee)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Developer's Full Legal Name]</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Grantee Address</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Developer's Residential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Total Shares Granted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Number of shares representing 20% e.g. 2,000,000 shares]</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Grant Date</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Date of this Agreement]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Vesting Start Date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Date vesting begins — usually same as Grant Date]</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Cliff Period</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12 months from Vesting Start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Total Vesting Period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48 months (4 years)</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Governing Law</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Federal Republic of Nigeria</w:t>
            </w:r>
          </w:p>
        </w:tc>
      </w:tr>
    </w:tbl>
    <w:p>
      <w:pPr>
        <w:spacing w:after="80"/>
      </w:pPr>
      <w:r>
        <w:t xml:space="preserve"/>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1. GRANT OF SHARES</w:t>
      </w:r>
    </w:p>
    <w:p>
      <w:pPr>
        <w:spacing w:after="160"/>
        <w:jc w:val="both"/>
      </w:pPr>
      <w:r>
        <w:rPr>
          <w:rFonts w:ascii="Arial" w:cs="Arial" w:eastAsia="Arial" w:hAnsi="Arial"/>
          <w:color w:val="000000"/>
          <w:sz w:val="22"/>
          <w:szCs w:val="22"/>
        </w:rPr>
        <w:t xml:space="preserve">MediBank Nexus Limited ("Company") hereby grants to the Grantee named above ("Grantee") the right to earn the shares specified above, subject to the vesting schedule and conditions set out in this Agreement. The shares shall represent twenty percent (20%) of the Company's total issued share capital as at the Grant Date, on a fully diluted basis.</w:t>
      </w:r>
    </w:p>
    <w:p>
      <w:pPr>
        <w:pStyle w:val="Heading1"/>
        <w:spacing w:after="160" w:before="360"/>
      </w:pPr>
      <w:r>
        <w:rPr>
          <w:rFonts w:ascii="Arial" w:cs="Arial" w:eastAsia="Arial" w:hAnsi="Arial"/>
          <w:b/>
          <w:bCs/>
          <w:color w:val="0A3D62"/>
          <w:sz w:val="28"/>
          <w:szCs w:val="28"/>
        </w:rPr>
        <w:t xml:space="preserve">2. VESTING SCHEDULE</w:t>
      </w:r>
    </w:p>
    <w:p>
      <w:pPr>
        <w:pStyle w:val="Heading2"/>
        <w:spacing w:after="120" w:before="240"/>
      </w:pPr>
      <w:r>
        <w:rPr>
          <w:rFonts w:ascii="Arial" w:cs="Arial" w:eastAsia="Arial" w:hAnsi="Arial"/>
          <w:b/>
          <w:bCs/>
          <w:color w:val="1A73E8"/>
          <w:sz w:val="24"/>
          <w:szCs w:val="24"/>
        </w:rPr>
        <w:t xml:space="preserve">2.1 Cliff</w:t>
      </w:r>
    </w:p>
    <w:p>
      <w:pPr>
        <w:spacing w:after="160"/>
        <w:jc w:val="left"/>
      </w:pPr>
      <w:r>
        <w:rPr>
          <w:rFonts w:ascii="Arial" w:cs="Arial" w:eastAsia="Arial" w:hAnsi="Arial"/>
          <w:color w:val="000000"/>
          <w:sz w:val="22"/>
          <w:szCs w:val="22"/>
        </w:rPr>
        <w:t xml:space="preserve">No shares shall vest during the first twelve (12) months following the Vesting Start Date (the "Cliff Period"). If the Grantee ceases to be actively engaged with the Company for any reason before the Cliff Period expires, no shares shall vest and the entire grant shall be forfeited.</w:t>
      </w:r>
    </w:p>
    <w:p>
      <w:pPr>
        <w:pStyle w:val="Heading2"/>
        <w:spacing w:after="120" w:before="240"/>
      </w:pPr>
      <w:r>
        <w:rPr>
          <w:rFonts w:ascii="Arial" w:cs="Arial" w:eastAsia="Arial" w:hAnsi="Arial"/>
          <w:b/>
          <w:bCs/>
          <w:color w:val="1A73E8"/>
          <w:sz w:val="24"/>
          <w:szCs w:val="24"/>
        </w:rPr>
        <w:t xml:space="preserve">2.2 Post-Cliff Vesting</w:t>
      </w:r>
    </w:p>
    <w:p>
      <w:pPr>
        <w:spacing w:after="160"/>
        <w:jc w:val="left"/>
      </w:pPr>
      <w:r>
        <w:rPr>
          <w:rFonts w:ascii="Arial" w:cs="Arial" w:eastAsia="Arial" w:hAnsi="Arial"/>
          <w:color w:val="000000"/>
          <w:sz w:val="22"/>
          <w:szCs w:val="22"/>
        </w:rPr>
        <w:t xml:space="preserve">Upon completion of the Cliff Period, shares shall vest as follows:</w:t>
      </w:r>
    </w:p>
    <w:p>
      <w:pPr>
        <w:pStyle w:val="ListParagraph"/>
        <w:numPr>
          <w:ilvl w:val="0"/>
          <w:numId w:val="2"/>
        </w:numPr>
        <w:spacing w:after="100"/>
      </w:pPr>
      <w:r>
        <w:rPr>
          <w:rFonts w:ascii="Arial" w:cs="Arial" w:eastAsia="Arial" w:hAnsi="Arial"/>
          <w:color w:val="000000"/>
          <w:sz w:val="22"/>
          <w:szCs w:val="22"/>
        </w:rPr>
        <w:t xml:space="preserve">On the first anniversary of the Vesting Start Date: 25% of total granted shares vest immediately (the "Cliff Vest").</w:t>
      </w:r>
    </w:p>
    <w:p>
      <w:pPr>
        <w:pStyle w:val="ListParagraph"/>
        <w:numPr>
          <w:ilvl w:val="0"/>
          <w:numId w:val="2"/>
        </w:numPr>
        <w:spacing w:after="100"/>
      </w:pPr>
      <w:r>
        <w:rPr>
          <w:rFonts w:ascii="Arial" w:cs="Arial" w:eastAsia="Arial" w:hAnsi="Arial"/>
          <w:color w:val="000000"/>
          <w:sz w:val="22"/>
          <w:szCs w:val="22"/>
        </w:rPr>
        <w:t xml:space="preserve">Thereafter: The remaining 75% of granted shares vest monthly in equal instalments over the following 36 months.</w:t>
      </w:r>
    </w:p>
    <w:p>
      <w:pPr>
        <w:pStyle w:val="ListParagraph"/>
        <w:numPr>
          <w:ilvl w:val="0"/>
          <w:numId w:val="2"/>
        </w:numPr>
        <w:spacing w:after="100"/>
      </w:pPr>
      <w:r>
        <w:rPr>
          <w:rFonts w:ascii="Arial" w:cs="Arial" w:eastAsia="Arial" w:hAnsi="Arial"/>
          <w:color w:val="000000"/>
          <w:sz w:val="22"/>
          <w:szCs w:val="22"/>
        </w:rPr>
        <w:t xml:space="preserve">Each monthly instalment represents 1/48th of the total shares granted (i.e. 2.083% of the total grant per month after the cliff).</w:t>
      </w:r>
    </w:p>
    <w:p>
      <w:pPr>
        <w:pStyle w:val="ListParagraph"/>
        <w:numPr>
          <w:ilvl w:val="0"/>
          <w:numId w:val="2"/>
        </w:numPr>
        <w:spacing w:after="100"/>
      </w:pPr>
      <w:r>
        <w:rPr>
          <w:rFonts w:ascii="Arial" w:cs="Arial" w:eastAsia="Arial" w:hAnsi="Arial"/>
          <w:color w:val="000000"/>
          <w:sz w:val="22"/>
          <w:szCs w:val="22"/>
        </w:rPr>
        <w:t xml:space="preserve">Full vesting occurs on the 48-month anniversary of the Vesting Start Date.</w:t>
      </w:r>
    </w:p>
    <w:p>
      <w:pPr>
        <w:spacing w:after="80"/>
      </w:pPr>
      <w:r>
        <w:t xml:space="preserve"/>
      </w:r>
    </w:p>
    <w:p>
      <w:pPr>
        <w:spacing w:after="120" w:before="120"/>
      </w:pPr>
      <w:r>
        <w:rPr>
          <w:rFonts w:ascii="Arial" w:cs="Arial" w:eastAsia="Arial" w:hAnsi="Arial"/>
          <w:b/>
          <w:bCs/>
          <w:color w:val="000000"/>
          <w:sz w:val="22"/>
          <w:szCs w:val="22"/>
        </w:rPr>
        <w:t xml:space="preserve">Vesting Schedule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63"/>
        <w:gridCol w:w="2263"/>
      </w:tblGrid>
      <w:tr>
        <w:tc>
          <w:tcPr>
            <w:tcW w:type="dxa" w:w="20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Period</w:t>
            </w:r>
          </w:p>
        </w:tc>
        <w:tc>
          <w:tcPr>
            <w:tcW w:type="dxa" w:w="25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Event</w:t>
            </w:r>
          </w:p>
        </w:tc>
        <w:tc>
          <w:tcPr>
            <w:tcW w:type="dxa" w:w="2263"/>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Shares Vesting</w:t>
            </w:r>
          </w:p>
        </w:tc>
        <w:tc>
          <w:tcPr>
            <w:tcW w:type="dxa" w:w="2263"/>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Cumulative %</w:t>
            </w:r>
          </w:p>
        </w:tc>
      </w:tr>
      <w:tr>
        <w:tc>
          <w:tcPr>
            <w:tcW w:type="dxa" w:w="2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Months 1–12</w:t>
            </w:r>
          </w:p>
        </w:tc>
        <w:tc>
          <w:tcPr>
            <w:tcW w:type="dxa" w:w="25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Cliff Period — no vesting</w:t>
            </w:r>
          </w:p>
        </w:tc>
        <w:tc>
          <w:tcPr>
            <w:tcW w:type="dxa" w:w="226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color w:val="000000"/>
                <w:sz w:val="22"/>
                <w:szCs w:val="22"/>
              </w:rPr>
              <w:t xml:space="preserve">0</w:t>
            </w:r>
          </w:p>
        </w:tc>
        <w:tc>
          <w:tcPr>
            <w:tcW w:type="dxa" w:w="226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Month 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Cliff vest (25% of grant)</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25% of total shares]</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25%</w:t>
            </w:r>
          </w:p>
        </w:tc>
      </w:tr>
      <w:tr>
        <w:tc>
          <w:tcPr>
            <w:tcW w:type="dxa" w:w="2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Months 13–48</w:t>
            </w:r>
          </w:p>
        </w:tc>
        <w:tc>
          <w:tcPr>
            <w:tcW w:type="dxa" w:w="25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Monthly vesting (1/48 per month)</w:t>
            </w:r>
          </w:p>
        </w:tc>
        <w:tc>
          <w:tcPr>
            <w:tcW w:type="dxa" w:w="226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per month share count]</w:t>
            </w:r>
          </w:p>
        </w:tc>
        <w:tc>
          <w:tcPr>
            <w:tcW w:type="dxa" w:w="226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25% → 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Month 48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Full vesting complete</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100%</w:t>
            </w:r>
          </w:p>
        </w:tc>
      </w:tr>
    </w:tbl>
    <w:p>
      <w:pPr>
        <w:spacing w:after="80"/>
      </w:pPr>
      <w:r>
        <w:t xml:space="preserve"/>
      </w:r>
    </w:p>
    <w:p>
      <w:pPr>
        <w:pStyle w:val="Heading1"/>
        <w:spacing w:after="160" w:before="360"/>
      </w:pPr>
      <w:r>
        <w:rPr>
          <w:rFonts w:ascii="Arial" w:cs="Arial" w:eastAsia="Arial" w:hAnsi="Arial"/>
          <w:b/>
          <w:bCs/>
          <w:color w:val="0A3D62"/>
          <w:sz w:val="28"/>
          <w:szCs w:val="28"/>
        </w:rPr>
        <w:t xml:space="preserve">3. CONDITIONS OF VESTING</w:t>
      </w:r>
    </w:p>
    <w:p>
      <w:pPr>
        <w:pStyle w:val="Heading2"/>
        <w:spacing w:after="120" w:before="240"/>
      </w:pPr>
      <w:r>
        <w:rPr>
          <w:rFonts w:ascii="Arial" w:cs="Arial" w:eastAsia="Arial" w:hAnsi="Arial"/>
          <w:b/>
          <w:bCs/>
          <w:color w:val="1A73E8"/>
          <w:sz w:val="24"/>
          <w:szCs w:val="24"/>
        </w:rPr>
        <w:t xml:space="preserve">3.1 Active Engagement</w:t>
      </w:r>
    </w:p>
    <w:p>
      <w:pPr>
        <w:spacing w:after="160"/>
        <w:jc w:val="left"/>
      </w:pPr>
      <w:r>
        <w:rPr>
          <w:rFonts w:ascii="Arial" w:cs="Arial" w:eastAsia="Arial" w:hAnsi="Arial"/>
          <w:color w:val="000000"/>
          <w:sz w:val="22"/>
          <w:szCs w:val="22"/>
        </w:rPr>
        <w:t xml:space="preserve">Vesting is conditional upon the Grantee remaining actively engaged with the Company in the capacity of Chief Technology Officer or such other role as agreed in writing. Active engagement means dedicating a minimum of [EDIT: e.g. 60%] of professional working time to Company matters.</w:t>
      </w:r>
    </w:p>
    <w:p>
      <w:pPr>
        <w:pStyle w:val="Heading2"/>
        <w:spacing w:after="120" w:before="240"/>
      </w:pPr>
      <w:r>
        <w:rPr>
          <w:rFonts w:ascii="Arial" w:cs="Arial" w:eastAsia="Arial" w:hAnsi="Arial"/>
          <w:b/>
          <w:bCs/>
          <w:color w:val="1A73E8"/>
          <w:sz w:val="24"/>
          <w:szCs w:val="24"/>
        </w:rPr>
        <w:t xml:space="preserve">3.2 Other Projects</w:t>
      </w:r>
    </w:p>
    <w:p>
      <w:pPr>
        <w:spacing w:after="160"/>
        <w:jc w:val="left"/>
      </w:pPr>
      <w:r>
        <w:rPr>
          <w:rFonts w:ascii="Arial" w:cs="Arial" w:eastAsia="Arial" w:hAnsi="Arial"/>
          <w:color w:val="000000"/>
          <w:sz w:val="22"/>
          <w:szCs w:val="22"/>
        </w:rPr>
        <w:t xml:space="preserve">The Grantee acknowledges that they are engaged in other client projects alongside MediBank Nexus. The Grantee confirms that such other work shall not:</w:t>
      </w:r>
    </w:p>
    <w:p>
      <w:pPr>
        <w:pStyle w:val="ListParagraph"/>
        <w:numPr>
          <w:ilvl w:val="0"/>
          <w:numId w:val="2"/>
        </w:numPr>
        <w:spacing w:after="100"/>
      </w:pPr>
      <w:r>
        <w:rPr>
          <w:rFonts w:ascii="Arial" w:cs="Arial" w:eastAsia="Arial" w:hAnsi="Arial"/>
          <w:color w:val="000000"/>
          <w:sz w:val="22"/>
          <w:szCs w:val="22"/>
        </w:rPr>
        <w:t xml:space="preserve">Use Company resources, confidential information, or infrastructure.</w:t>
      </w:r>
    </w:p>
    <w:p>
      <w:pPr>
        <w:pStyle w:val="ListParagraph"/>
        <w:numPr>
          <w:ilvl w:val="0"/>
          <w:numId w:val="2"/>
        </w:numPr>
        <w:spacing w:after="100"/>
      </w:pPr>
      <w:r>
        <w:rPr>
          <w:rFonts w:ascii="Arial" w:cs="Arial" w:eastAsia="Arial" w:hAnsi="Arial"/>
          <w:color w:val="000000"/>
          <w:sz w:val="22"/>
          <w:szCs w:val="22"/>
        </w:rPr>
        <w:t xml:space="preserve">Conflict with or compete with the Company's business.</w:t>
      </w:r>
    </w:p>
    <w:p>
      <w:pPr>
        <w:pStyle w:val="ListParagraph"/>
        <w:numPr>
          <w:ilvl w:val="0"/>
          <w:numId w:val="2"/>
        </w:numPr>
        <w:spacing w:after="100"/>
      </w:pPr>
      <w:r>
        <w:rPr>
          <w:rFonts w:ascii="Arial" w:cs="Arial" w:eastAsia="Arial" w:hAnsi="Arial"/>
          <w:color w:val="000000"/>
          <w:sz w:val="22"/>
          <w:szCs w:val="22"/>
        </w:rPr>
        <w:t xml:space="preserve">Reduce the Grantee's commitment below the minimum agreed in Section 3.1.</w:t>
      </w:r>
    </w:p>
    <w:p>
      <w:pPr>
        <w:spacing w:after="160"/>
        <w:jc w:val="left"/>
      </w:pPr>
      <w:r>
        <w:rPr>
          <w:rFonts w:ascii="Arial" w:cs="Arial" w:eastAsia="Arial" w:hAnsi="Arial"/>
          <w:color w:val="000000"/>
          <w:sz w:val="22"/>
          <w:szCs w:val="22"/>
        </w:rPr>
        <w:t xml:space="preserve">If the Grantee's other commitments materially impair their performance for the Company, the Company may suspend vesting until the conflict is resolved.</w:t>
      </w:r>
    </w:p>
    <w:p>
      <w:pPr>
        <w:pStyle w:val="Heading1"/>
        <w:spacing w:after="160" w:before="360"/>
      </w:pPr>
      <w:r>
        <w:rPr>
          <w:rFonts w:ascii="Arial" w:cs="Arial" w:eastAsia="Arial" w:hAnsi="Arial"/>
          <w:b/>
          <w:bCs/>
          <w:color w:val="0A3D62"/>
          <w:sz w:val="28"/>
          <w:szCs w:val="28"/>
        </w:rPr>
        <w:t xml:space="preserve">4. ACCELERATION</w:t>
      </w:r>
    </w:p>
    <w:p>
      <w:pPr>
        <w:spacing w:after="160"/>
        <w:jc w:val="left"/>
      </w:pPr>
      <w:r>
        <w:rPr>
          <w:rFonts w:ascii="Arial" w:cs="Arial" w:eastAsia="Arial" w:hAnsi="Arial"/>
          <w:color w:val="000000"/>
          <w:sz w:val="22"/>
          <w:szCs w:val="22"/>
        </w:rPr>
        <w:t xml:space="preserve">All unvested shares shall vest immediately upon:</w:t>
      </w:r>
    </w:p>
    <w:p>
      <w:pPr>
        <w:pStyle w:val="ListParagraph"/>
        <w:numPr>
          <w:ilvl w:val="0"/>
          <w:numId w:val="3"/>
        </w:numPr>
        <w:spacing w:after="120"/>
      </w:pPr>
      <w:r>
        <w:rPr>
          <w:rFonts w:ascii="Arial" w:cs="Arial" w:eastAsia="Arial" w:hAnsi="Arial"/>
          <w:color w:val="000000"/>
          <w:sz w:val="22"/>
          <w:szCs w:val="22"/>
        </w:rPr>
        <w:t xml:space="preserve">A bona fide acquisition of the Company by a third party where the Grantee is required to exit.</w:t>
      </w:r>
    </w:p>
    <w:p>
      <w:pPr>
        <w:pStyle w:val="ListParagraph"/>
        <w:numPr>
          <w:ilvl w:val="0"/>
          <w:numId w:val="3"/>
        </w:numPr>
        <w:spacing w:after="120"/>
      </w:pPr>
      <w:r>
        <w:rPr>
          <w:rFonts w:ascii="Arial" w:cs="Arial" w:eastAsia="Arial" w:hAnsi="Arial"/>
          <w:color w:val="000000"/>
          <w:sz w:val="22"/>
          <w:szCs w:val="22"/>
        </w:rPr>
        <w:t xml:space="preserve">A Change of Control event (&gt;50% change in voting shares).</w:t>
      </w:r>
    </w:p>
    <w:p>
      <w:pPr>
        <w:pStyle w:val="ListParagraph"/>
        <w:numPr>
          <w:ilvl w:val="0"/>
          <w:numId w:val="3"/>
        </w:numPr>
        <w:spacing w:after="120"/>
      </w:pPr>
      <w:r>
        <w:rPr>
          <w:rFonts w:ascii="Arial" w:cs="Arial" w:eastAsia="Arial" w:hAnsi="Arial"/>
          <w:color w:val="000000"/>
          <w:sz w:val="22"/>
          <w:szCs w:val="22"/>
        </w:rPr>
        <w:t xml:space="preserve">Mutual written agreement of all founders.</w:t>
      </w:r>
    </w:p>
    <w:p>
      <w:pPr>
        <w:pStyle w:val="ListParagraph"/>
        <w:numPr>
          <w:ilvl w:val="0"/>
          <w:numId w:val="3"/>
        </w:numPr>
        <w:spacing w:after="120"/>
      </w:pPr>
      <w:r>
        <w:rPr>
          <w:rFonts w:ascii="Arial" w:cs="Arial" w:eastAsia="Arial" w:hAnsi="Arial"/>
          <w:color w:val="000000"/>
          <w:sz w:val="22"/>
          <w:szCs w:val="22"/>
        </w:rPr>
        <w:t xml:space="preserve">Termination of the Grantee's engagement by the Company without cause (not Gross Misconduct).</w:t>
      </w:r>
    </w:p>
    <w:p>
      <w:pPr>
        <w:pStyle w:val="Heading1"/>
        <w:spacing w:after="160" w:before="360"/>
      </w:pPr>
      <w:r>
        <w:rPr>
          <w:rFonts w:ascii="Arial" w:cs="Arial" w:eastAsia="Arial" w:hAnsi="Arial"/>
          <w:b/>
          <w:bCs/>
          <w:color w:val="0A3D62"/>
          <w:sz w:val="28"/>
          <w:szCs w:val="28"/>
        </w:rPr>
        <w:t xml:space="preserve">5. FORFEITURE</w:t>
      </w:r>
    </w:p>
    <w:p>
      <w:pPr>
        <w:pStyle w:val="Heading2"/>
        <w:spacing w:after="120" w:before="240"/>
      </w:pPr>
      <w:r>
        <w:rPr>
          <w:rFonts w:ascii="Arial" w:cs="Arial" w:eastAsia="Arial" w:hAnsi="Arial"/>
          <w:b/>
          <w:bCs/>
          <w:color w:val="1A73E8"/>
          <w:sz w:val="24"/>
          <w:szCs w:val="24"/>
        </w:rPr>
        <w:t xml:space="preserve">5.1 Resignation or Departure</w:t>
      </w:r>
    </w:p>
    <w:p>
      <w:pPr>
        <w:spacing w:after="160"/>
        <w:jc w:val="left"/>
      </w:pPr>
      <w:r>
        <w:rPr>
          <w:rFonts w:ascii="Arial" w:cs="Arial" w:eastAsia="Arial" w:hAnsi="Arial"/>
          <w:color w:val="000000"/>
          <w:sz w:val="22"/>
          <w:szCs w:val="22"/>
        </w:rPr>
        <w:t xml:space="preserve">If the Grantee voluntarily ceases engagement with the Company before full vesting, all unvested shares shall be forfeited immediately and returned to the Company's option pool at nil consideration.</w:t>
      </w:r>
    </w:p>
    <w:p>
      <w:pPr>
        <w:pStyle w:val="Heading2"/>
        <w:spacing w:after="120" w:before="240"/>
      </w:pPr>
      <w:r>
        <w:rPr>
          <w:rFonts w:ascii="Arial" w:cs="Arial" w:eastAsia="Arial" w:hAnsi="Arial"/>
          <w:b/>
          <w:bCs/>
          <w:color w:val="1A73E8"/>
          <w:sz w:val="24"/>
          <w:szCs w:val="24"/>
        </w:rPr>
        <w:t xml:space="preserve">5.2 Gross Misconduct</w:t>
      </w:r>
    </w:p>
    <w:p>
      <w:pPr>
        <w:spacing w:after="160"/>
        <w:jc w:val="left"/>
      </w:pPr>
      <w:r>
        <w:rPr>
          <w:rFonts w:ascii="Arial" w:cs="Arial" w:eastAsia="Arial" w:hAnsi="Arial"/>
          <w:color w:val="000000"/>
          <w:sz w:val="22"/>
          <w:szCs w:val="22"/>
        </w:rPr>
        <w:t xml:space="preserve">In the event of Gross Misconduct (including fraud, theft, misrepresentation, wilful breach of this Agreement, or criminal conviction), the Company shall have the right to repurchase all vested shares at nominal value within sixty (60) days of the relevant determination.</w:t>
      </w:r>
    </w:p>
    <w:p>
      <w:pPr>
        <w:pStyle w:val="Heading2"/>
        <w:spacing w:after="120" w:before="240"/>
      </w:pPr>
      <w:r>
        <w:rPr>
          <w:rFonts w:ascii="Arial" w:cs="Arial" w:eastAsia="Arial" w:hAnsi="Arial"/>
          <w:b/>
          <w:bCs/>
          <w:color w:val="1A73E8"/>
          <w:sz w:val="24"/>
          <w:szCs w:val="24"/>
        </w:rPr>
        <w:t xml:space="preserve">5.3 Definition of Gross Misconduct</w:t>
      </w:r>
    </w:p>
    <w:p>
      <w:pPr>
        <w:spacing w:after="160"/>
        <w:jc w:val="left"/>
      </w:pPr>
      <w:r>
        <w:rPr>
          <w:rFonts w:ascii="Arial" w:cs="Arial" w:eastAsia="Arial" w:hAnsi="Arial"/>
          <w:color w:val="000000"/>
          <w:sz w:val="22"/>
          <w:szCs w:val="22"/>
        </w:rPr>
        <w:t xml:space="preserve">Gross Misconduct includes but is not limited to: fraud, theft, wilful damage to Company assets, breach of confidentiality, criminal conviction, breach of fiduciary duty, or conduct that materially and adversely affects the Company's reputation or business.</w:t>
      </w:r>
    </w:p>
    <w:p>
      <w:pPr>
        <w:pStyle w:val="Heading1"/>
        <w:spacing w:after="160" w:before="360"/>
      </w:pPr>
      <w:r>
        <w:rPr>
          <w:rFonts w:ascii="Arial" w:cs="Arial" w:eastAsia="Arial" w:hAnsi="Arial"/>
          <w:b/>
          <w:bCs/>
          <w:color w:val="0A3D62"/>
          <w:sz w:val="28"/>
          <w:szCs w:val="28"/>
        </w:rPr>
        <w:t xml:space="preserve">6. SHARE TRANSFER RESTRICTIONS</w:t>
      </w:r>
    </w:p>
    <w:p>
      <w:pPr>
        <w:spacing w:after="160"/>
        <w:jc w:val="left"/>
      </w:pPr>
      <w:r>
        <w:rPr>
          <w:rFonts w:ascii="Arial" w:cs="Arial" w:eastAsia="Arial" w:hAnsi="Arial"/>
          <w:color w:val="000000"/>
          <w:sz w:val="22"/>
          <w:szCs w:val="22"/>
        </w:rPr>
        <w:t xml:space="preserve">Vested shares are subject to the transfer restrictions in the Founders' Agreement, including the Right of First Refusal in favour of the other Founders. No vested shares may be sold or transferred without first complying with those provisions.</w:t>
      </w:r>
    </w:p>
    <w:p>
      <w:pPr>
        <w:pStyle w:val="Heading1"/>
        <w:spacing w:after="160" w:before="360"/>
      </w:pPr>
      <w:r>
        <w:rPr>
          <w:rFonts w:ascii="Arial" w:cs="Arial" w:eastAsia="Arial" w:hAnsi="Arial"/>
          <w:b/>
          <w:bCs/>
          <w:color w:val="0A3D62"/>
          <w:sz w:val="28"/>
          <w:szCs w:val="28"/>
        </w:rPr>
        <w:t xml:space="preserve">7. TAX</w:t>
      </w:r>
    </w:p>
    <w:p>
      <w:pPr>
        <w:spacing w:after="160"/>
        <w:jc w:val="left"/>
      </w:pPr>
      <w:r>
        <w:rPr>
          <w:rFonts w:ascii="Arial" w:cs="Arial" w:eastAsia="Arial" w:hAnsi="Arial"/>
          <w:color w:val="000000"/>
          <w:sz w:val="22"/>
          <w:szCs w:val="22"/>
        </w:rPr>
        <w:t xml:space="preserve">The Grantee is responsible for all personal tax obligations arising from the grant or vesting of shares under this Agreement. The Company makes no representation regarding the tax treatment of this arrangement and the Grantee is advised to seek independent tax advice.</w:t>
      </w:r>
    </w:p>
    <w:p>
      <w:pPr>
        <w:pStyle w:val="Heading1"/>
        <w:spacing w:after="160" w:before="360"/>
      </w:pPr>
      <w:r>
        <w:rPr>
          <w:rFonts w:ascii="Arial" w:cs="Arial" w:eastAsia="Arial" w:hAnsi="Arial"/>
          <w:b/>
          <w:bCs/>
          <w:color w:val="0A3D62"/>
          <w:sz w:val="28"/>
          <w:szCs w:val="28"/>
        </w:rPr>
        <w:t xml:space="preserve">8. INTELLECTUAL PROPERTY CONFIRMATION</w:t>
      </w:r>
    </w:p>
    <w:p>
      <w:pPr>
        <w:spacing w:after="160"/>
        <w:jc w:val="left"/>
      </w:pPr>
      <w:r>
        <w:rPr>
          <w:rFonts w:ascii="Arial" w:cs="Arial" w:eastAsia="Arial" w:hAnsi="Arial"/>
          <w:color w:val="000000"/>
          <w:sz w:val="22"/>
          <w:szCs w:val="22"/>
        </w:rPr>
        <w:t xml:space="preserve">The Grantee confirms the assignment of all intellectual property to the Company as set out in the Founders' Agreement and acknowledges that this vesting arrangement is partly in consideration of that assignment.</w:t>
      </w:r>
    </w:p>
    <w:p>
      <w:pPr>
        <w:pStyle w:val="Heading1"/>
        <w:spacing w:after="160" w:before="360"/>
      </w:pPr>
      <w:r>
        <w:rPr>
          <w:rFonts w:ascii="Arial" w:cs="Arial" w:eastAsia="Arial" w:hAnsi="Arial"/>
          <w:b/>
          <w:bCs/>
          <w:color w:val="0A3D62"/>
          <w:sz w:val="28"/>
          <w:szCs w:val="28"/>
        </w:rPr>
        <w:t xml:space="preserve">9. GOVERNING LAW</w:t>
      </w:r>
    </w:p>
    <w:p>
      <w:pPr>
        <w:spacing w:after="160"/>
        <w:jc w:val="left"/>
      </w:pPr>
      <w:r>
        <w:rPr>
          <w:rFonts w:ascii="Arial" w:cs="Arial" w:eastAsia="Arial" w:hAnsi="Arial"/>
          <w:color w:val="000000"/>
          <w:sz w:val="22"/>
          <w:szCs w:val="22"/>
        </w:rPr>
        <w:t xml:space="preserve">This Agreement is governed by the laws of the Federal Republic of Nigeria. Any dispute shall be resolved in accordance with the dispute resolution provisions of the Founders' Agreement.</w:t>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EXECUTION</w:t>
      </w:r>
    </w:p>
    <w:p>
      <w:pPr>
        <w:spacing w:after="160"/>
        <w:jc w:val="left"/>
      </w:pPr>
      <w:r>
        <w:rPr>
          <w:rFonts w:ascii="Arial" w:cs="Arial" w:eastAsia="Arial" w:hAnsi="Arial"/>
          <w:color w:val="000000"/>
          <w:sz w:val="22"/>
          <w:szCs w:val="22"/>
        </w:rPr>
        <w:t xml:space="preserve">IN WITNESS WHEREOF, the parties have executed this Agreement as of the date first written above.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pPr>
              <w:spacing w:after="60" w:before="40"/>
            </w:pPr>
            <w:r>
              <w:rPr>
                <w:rFonts w:ascii="Arial" w:cs="Arial" w:eastAsia="Arial" w:hAnsi="Arial"/>
                <w:b/>
                <w:bCs/>
                <w:color w:val="000000"/>
                <w:sz w:val="22"/>
                <w:szCs w:val="22"/>
              </w:rPr>
              <w:t xml:space="preserve">FOR THE COMPANY</w:t>
            </w:r>
          </w:p>
          <w:p>
            <w:pPr>
              <w:spacing w:after="480"/>
            </w:pPr>
            <w:r>
              <w:rPr>
                <w:rFonts w:ascii="Arial" w:cs="Arial" w:eastAsia="Arial" w:hAnsi="Arial"/>
                <w:color w:val="000000"/>
                <w:sz w:val="22"/>
                <w:szCs w:val="22"/>
              </w:rPr>
              <w:t xml:space="preserve">MediBank Nexus Limited</w:t>
            </w:r>
          </w:p>
          <w:p>
            <w:r>
              <w:rPr>
                <w:rFonts w:ascii="Arial" w:cs="Arial" w:eastAsia="Arial" w:hAnsi="Arial"/>
                <w:sz w:val="22"/>
                <w:szCs w:val="22"/>
              </w:rPr>
              <w:t xml:space="preserve">____________________________________________</w:t>
            </w:r>
          </w:p>
          <w:p>
            <w:pPr>
              <w:spacing w:after="60"/>
            </w:pPr>
            <w:r>
              <w:rPr>
                <w:rFonts w:ascii="Arial" w:cs="Arial" w:eastAsia="Arial" w:hAnsi="Arial"/>
                <w:b/>
                <w:bCs/>
                <w:color w:val="000000"/>
                <w:sz w:val="22"/>
                <w:szCs w:val="22"/>
              </w:rPr>
              <w:t xml:space="preserve">Joshua Redeem Ohiani Bankole</w:t>
            </w:r>
          </w:p>
          <w:p>
            <w:pPr>
              <w:spacing w:after="60"/>
            </w:pPr>
            <w:r>
              <w:rPr>
                <w:rFonts w:ascii="Arial" w:cs="Arial" w:eastAsia="Arial" w:hAnsi="Arial"/>
                <w:color w:val="000000"/>
                <w:sz w:val="22"/>
                <w:szCs w:val="22"/>
              </w:rPr>
              <w:t xml:space="preserve">Director / CEO</w:t>
            </w:r>
          </w:p>
          <w:p>
            <w:r>
              <w:rPr>
                <w:rFonts w:ascii="Arial" w:cs="Arial" w:eastAsia="Arial" w:hAnsi="Arial"/>
                <w:color w:val="000000"/>
                <w:sz w:val="22"/>
                <w:szCs w:val="22"/>
              </w:rPr>
              <w:t xml:space="preserve">Date: ___________________________</w:t>
            </w:r>
          </w:p>
        </w:tc>
        <w:tc>
          <w:tcPr>
            <w:tcW w:type="dxa" w:w="400"/>
            <w:tcBorders>
              <w:top w:val="none" w:color="FFFFFF" w:sz="0"/>
              <w:left w:val="none" w:color="FFFFFF" w:sz="0"/>
              <w:bottom w:val="none" w:color="FFFFFF" w:sz="0"/>
              <w:right w:val="none" w:color="FFFFFF" w:sz="0"/>
            </w:tcBorders>
          </w:tcPr>
          <w:p>
            <w:r>
              <w:t xml:space="preserve"/>
            </w:r>
          </w:p>
        </w:tc>
        <w:tc>
          <w:tcPr>
            <w:tcW w:type="dxa" w:w="4313"/>
            <w:tcBorders>
              <w:top w:val="none" w:color="FFFFFF" w:sz="0"/>
              <w:left w:val="none" w:color="FFFFFF" w:sz="0"/>
              <w:bottom w:val="none" w:color="FFFFFF" w:sz="0"/>
              <w:right w:val="none" w:color="FFFFFF" w:sz="0"/>
            </w:tcBorders>
          </w:tcPr>
          <w:p>
            <w:pPr>
              <w:spacing w:after="60" w:before="40"/>
            </w:pPr>
            <w:r>
              <w:rPr>
                <w:rFonts w:ascii="Arial" w:cs="Arial" w:eastAsia="Arial" w:hAnsi="Arial"/>
                <w:b/>
                <w:bCs/>
                <w:color w:val="000000"/>
                <w:sz w:val="22"/>
                <w:szCs w:val="22"/>
              </w:rPr>
              <w:t xml:space="preserve">GRANTEE</w:t>
            </w:r>
          </w:p>
          <w:p>
            <w:pPr>
              <w:spacing w:after="480"/>
            </w:pPr>
            <w:r>
              <w:rPr>
                <w:rFonts w:ascii="Arial" w:cs="Arial" w:eastAsia="Arial" w:hAnsi="Arial"/>
                <w:i/>
                <w:iCs/>
                <w:color w:val="CC0000"/>
                <w:sz w:val="22"/>
                <w:szCs w:val="22"/>
              </w:rPr>
              <w:t xml:space="preserve">[EDIT: Developer's Full Name]</w:t>
            </w:r>
          </w:p>
          <w:p>
            <w:r>
              <w:rPr>
                <w:rFonts w:ascii="Arial" w:cs="Arial" w:eastAsia="Arial" w:hAnsi="Arial"/>
                <w:sz w:val="22"/>
                <w:szCs w:val="22"/>
              </w:rPr>
              <w:t xml:space="preserve">____________________________________________</w:t>
            </w:r>
          </w:p>
          <w:p>
            <w:pPr>
              <w:spacing w:after="60"/>
            </w:pPr>
            <w:r>
              <w:rPr>
                <w:rFonts w:ascii="Arial" w:cs="Arial" w:eastAsia="Arial" w:hAnsi="Arial"/>
                <w:i/>
                <w:iCs/>
                <w:color w:val="CC0000"/>
                <w:sz w:val="22"/>
                <w:szCs w:val="22"/>
              </w:rPr>
              <w:t xml:space="preserve">[EDIT: Developer's Full Name]</w:t>
            </w:r>
          </w:p>
          <w:p>
            <w:pPr>
              <w:spacing w:after="60"/>
            </w:pPr>
            <w:r>
              <w:rPr>
                <w:rFonts w:ascii="Arial" w:cs="Arial" w:eastAsia="Arial" w:hAnsi="Arial"/>
                <w:color w:val="000000"/>
                <w:sz w:val="22"/>
                <w:szCs w:val="22"/>
              </w:rPr>
              <w:t xml:space="preserve">Chief Technology Officer</w:t>
            </w:r>
          </w:p>
          <w:p>
            <w:r>
              <w:rPr>
                <w:rFonts w:ascii="Arial" w:cs="Arial" w:eastAsia="Arial" w:hAnsi="Arial"/>
                <w:color w:val="000000"/>
                <w:sz w:val="22"/>
                <w:szCs w:val="22"/>
              </w:rPr>
              <w:t xml:space="preserve">Date: ___________________________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6"/>
      </w:pBdr>
      <w:tabs>
        <w:tab w:val="right" w:pos="9026"/>
      </w:tabs>
      <w:spacing w:before="120"/>
    </w:pPr>
    <w:r>
      <w:rPr>
        <w:rFonts w:ascii="Arial" w:cs="Arial" w:eastAsia="Arial" w:hAnsi="Arial"/>
        <w:color w:val="555555"/>
        <w:sz w:val="18"/>
        <w:szCs w:val="18"/>
      </w:rPr>
      <w:t xml:space="preserve">© 2026 MediBank Nexus Limited</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6"/>
      </w:pBdr>
      <w:spacing w:after="120"/>
    </w:pPr>
    <w:r>
      <w:rPr>
        <w:rFonts w:ascii="Arial" w:cs="Arial" w:eastAsia="Arial" w:hAnsi="Arial"/>
        <w:b/>
        <w:bCs/>
        <w:color w:val="0A3D62"/>
        <w:sz w:val="20"/>
        <w:szCs w:val="20"/>
      </w:rPr>
      <w:t xml:space="preserve">MediBank Nexus Limited</w:t>
    </w:r>
    <w:r>
      <w:rPr>
        <w:rFonts w:ascii="Arial" w:cs="Arial" w:eastAsia="Arial" w:hAnsi="Arial"/>
        <w:color w:val="555555"/>
        <w:sz w:val="20"/>
        <w:szCs w:val="20"/>
      </w:rPr>
      <w:t xml:space="preserve">   |   Equity Vesting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D6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73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2026-05-29T05:06:05.876Z</dcterms:created>
  <dcterms:modified xsi:type="dcterms:W3CDTF">2026-05-29T05:06:05.877Z</dcterms:modified>
</cp:coreProperties>
</file>

<file path=docProps/custom.xml><?xml version="1.0" encoding="utf-8"?>
<Properties xmlns="http://schemas.openxmlformats.org/officeDocument/2006/custom-properties" xmlns:vt="http://schemas.openxmlformats.org/officeDocument/2006/docPropsVTypes"/>
</file>