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0"/>
          <w:szCs w:val="30"/>
        </w:rPr>
        <w:t xml:space="preserve">SOFTWARE AS A SERVICE (SaaS) AGREEMENT</w:t>
      </w:r>
    </w:p>
    <w:p>
      <w:pPr>
        <w:spacing w:after="80"/>
        <w:jc w:val="center"/>
      </w:pPr>
      <w:r>
        <w:rPr>
          <w:rFonts w:ascii="Arial" w:cs="Arial" w:eastAsia="Arial" w:hAnsi="Arial"/>
          <w:i/>
          <w:iCs/>
          <w:color w:val="555555"/>
          <w:sz w:val="24"/>
          <w:szCs w:val="24"/>
        </w:rPr>
        <w:t xml:space="preserve">Hospital Subscription Contract</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Service Provider</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Provider CAC No.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CAC Registration Number]</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Provider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Registered Business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Client (Hospital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Full legal name of hospital / clinic]</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Client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Hospital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Client Contact Person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Name and title of authorised signatory]</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Client Contact Email</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Hospital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Subscription Plan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Starter / Professional / Enterprise]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Monthly Fee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NGN 80,000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Billing Cycle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Monthly / Annual]</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Contract Start Date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Date service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Initial Term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12 months from Contract Start Date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Hospital ID</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HOS-XXXX-XXXX — assigned on registration]</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"Service"</w:t>
            </w:r>
          </w:p>
        </w:tc>
        <w:tc>
          <w:tcPr>
            <w:tcW w:type="dxa" w:w="66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The MediBank Nexus cloud-based hospital management software platform, including all modules, updates, and associated support services provided by the 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"Client Data"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All data, records, and information uploaded to or generated within the platform by the Client, its staff, or patients, including patient health records.</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"Authorised Users"</w:t>
            </w:r>
          </w:p>
        </w:tc>
        <w:tc>
          <w:tcPr>
            <w:tcW w:type="dxa" w:w="66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Staff members of the Client who are registered on the platform with a unique login credential issued by the Client Administrator.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"Subscription Plan"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The pricing tier selected by the Client as set out above, determining the features, user limits, and monthly fee applicable.</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"Downtime"</w:t>
            </w:r>
          </w:p>
        </w:tc>
        <w:tc>
          <w:tcPr>
            <w:tcW w:type="dxa" w:w="66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Any period during which the Service is unavailable to Authorised Users, excluding scheduled maintenance 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"Confidential Information"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Any non-public information exchanged between the Parties in connection with this Agreement.</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2. GRANT OF LICENCE</w:t>
      </w:r>
    </w:p>
    <w:p>
      <w:pPr>
        <w:spacing w:after="160"/>
        <w:jc w:val="both"/>
      </w:pPr>
      <w:r>
        <w:rPr>
          <w:rFonts w:ascii="Arial" w:cs="Arial" w:eastAsia="Arial" w:hAnsi="Arial"/>
          <w:color w:val="000000"/>
          <w:sz w:val="22"/>
          <w:szCs w:val="22"/>
        </w:rPr>
        <w:t xml:space="preserve">The Provider hereby grants the Client a non-exclusive, non-transferable, revocable licence to access and use the Service during the term of this Agreement, solely for the Client's internal hospital management operations and subject to the terms herein. This licence does not grant the Client any rights to the underlying software, source code, or intellectual property of the Provider.</w:t>
      </w:r>
    </w:p>
    <w:p>
      <w:pPr>
        <w:pStyle w:val="Heading1"/>
        <w:spacing w:after="160" w:before="360"/>
      </w:pPr>
      <w:r>
        <w:rPr>
          <w:rFonts w:ascii="Arial" w:cs="Arial" w:eastAsia="Arial" w:hAnsi="Arial"/>
          <w:b/>
          <w:bCs/>
          <w:color w:val="0A3D62"/>
          <w:sz w:val="28"/>
          <w:szCs w:val="28"/>
        </w:rPr>
        <w:t xml:space="preserve">3. SUBSCRIPTION PLANS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13"/>
        <w:gridCol w:w="2413"/>
        <w:gridCol w:w="2400"/>
      </w:tblGrid>
      <w:t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41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Starter (NGN 30k)</w:t>
            </w:r>
          </w:p>
        </w:tc>
        <w:tc>
          <w:tcPr>
            <w:tcW w:type="dxa" w:w="241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Professional (NGN 80k)</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Enterprise (Custom)</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Staff Accounts</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Up to 5</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Up to 30</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Patient Registration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Pharmacy Rx Queue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Appointments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Doctor Consultation</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Analytics Dashboard</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Nexus AI Assistant</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Patient Portal</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SMS Reminders</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NHIS Integration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Custom Onboarding</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SLA Guarantee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Support</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Standard</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Priority</w:t>
            </w:r>
          </w:p>
        </w:tc>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Dedicated</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4. PAYMENT TERMS</w:t>
      </w:r>
    </w:p>
    <w:p>
      <w:pPr>
        <w:pStyle w:val="Heading2"/>
        <w:spacing w:after="120" w:before="240"/>
      </w:pPr>
      <w:r>
        <w:rPr>
          <w:rFonts w:ascii="Arial" w:cs="Arial" w:eastAsia="Arial" w:hAnsi="Arial"/>
          <w:b/>
          <w:bCs/>
          <w:color w:val="1A73E8"/>
          <w:sz w:val="24"/>
          <w:szCs w:val="24"/>
        </w:rPr>
        <w:t xml:space="preserve">4.1 Fees</w:t>
      </w:r>
    </w:p>
    <w:p>
      <w:pPr>
        <w:spacing w:after="160"/>
        <w:jc w:val="left"/>
      </w:pPr>
      <w:r>
        <w:rPr>
          <w:rFonts w:ascii="Arial" w:cs="Arial" w:eastAsia="Arial" w:hAnsi="Arial"/>
          <w:color w:val="000000"/>
          <w:sz w:val="22"/>
          <w:szCs w:val="22"/>
        </w:rPr>
        <w:t xml:space="preserve">The Client agrees to pay the monthly subscription fee set out above in advance on the first business day of each calendar month. Annual payment is available at a 10% discount on the total annual fee.</w:t>
      </w:r>
    </w:p>
    <w:p>
      <w:pPr>
        <w:pStyle w:val="Heading2"/>
        <w:spacing w:after="120" w:before="240"/>
      </w:pPr>
      <w:r>
        <w:rPr>
          <w:rFonts w:ascii="Arial" w:cs="Arial" w:eastAsia="Arial" w:hAnsi="Arial"/>
          <w:b/>
          <w:bCs/>
          <w:color w:val="1A73E8"/>
          <w:sz w:val="24"/>
          <w:szCs w:val="24"/>
        </w:rPr>
        <w:t xml:space="preserve">4.2 Payment Methods</w:t>
      </w:r>
    </w:p>
    <w:p>
      <w:pPr>
        <w:spacing w:after="160"/>
        <w:jc w:val="left"/>
      </w:pPr>
      <w:r>
        <w:rPr>
          <w:rFonts w:ascii="Arial" w:cs="Arial" w:eastAsia="Arial" w:hAnsi="Arial"/>
          <w:color w:val="000000"/>
          <w:sz w:val="22"/>
          <w:szCs w:val="22"/>
        </w:rPr>
        <w:t xml:space="preserve">Payments shall be made by bank transfer to the Provider's designated bank account, or via such other payment method as the Provider may notify from time to time. Payment details will be provided separately.</w:t>
      </w:r>
    </w:p>
    <w:p>
      <w:pPr>
        <w:pStyle w:val="Heading2"/>
        <w:spacing w:after="120" w:before="240"/>
      </w:pPr>
      <w:r>
        <w:rPr>
          <w:rFonts w:ascii="Arial" w:cs="Arial" w:eastAsia="Arial" w:hAnsi="Arial"/>
          <w:b/>
          <w:bCs/>
          <w:color w:val="1A73E8"/>
          <w:sz w:val="24"/>
          <w:szCs w:val="24"/>
        </w:rPr>
        <w:t xml:space="preserve">4.3 Late Payment</w:t>
      </w:r>
    </w:p>
    <w:p>
      <w:pPr>
        <w:spacing w:after="160"/>
        <w:jc w:val="left"/>
      </w:pPr>
      <w:r>
        <w:rPr>
          <w:rFonts w:ascii="Arial" w:cs="Arial" w:eastAsia="Arial" w:hAnsi="Arial"/>
          <w:color w:val="000000"/>
          <w:sz w:val="22"/>
          <w:szCs w:val="22"/>
        </w:rPr>
        <w:t xml:space="preserve">Fees not paid within fourteen (14) days of the due date shall attract a late payment charge of 2% per month on the outstanding balance. The Provider reserves the right to suspend access to the Service for accounts overdue by more than thirty (30) days, without liability to the Client.</w:t>
      </w:r>
    </w:p>
    <w:p>
      <w:pPr>
        <w:pStyle w:val="Heading2"/>
        <w:spacing w:after="120" w:before="240"/>
      </w:pPr>
      <w:r>
        <w:rPr>
          <w:rFonts w:ascii="Arial" w:cs="Arial" w:eastAsia="Arial" w:hAnsi="Arial"/>
          <w:b/>
          <w:bCs/>
          <w:color w:val="1A73E8"/>
          <w:sz w:val="24"/>
          <w:szCs w:val="24"/>
        </w:rPr>
        <w:t xml:space="preserve">4.4 Price Changes</w:t>
      </w:r>
    </w:p>
    <w:p>
      <w:pPr>
        <w:spacing w:after="160"/>
        <w:jc w:val="left"/>
      </w:pPr>
      <w:r>
        <w:rPr>
          <w:rFonts w:ascii="Arial" w:cs="Arial" w:eastAsia="Arial" w:hAnsi="Arial"/>
          <w:color w:val="000000"/>
          <w:sz w:val="22"/>
          <w:szCs w:val="22"/>
        </w:rPr>
        <w:t xml:space="preserve">The Provider may revise subscription fees by giving the Client not less than sixty (60) days' written notice. The Client may terminate the Agreement within thirty (30) days of such notice if the new fee is not acceptable.</w:t>
      </w:r>
    </w:p>
    <w:p>
      <w:pPr>
        <w:pStyle w:val="Heading1"/>
        <w:spacing w:after="160" w:before="360"/>
      </w:pPr>
      <w:r>
        <w:rPr>
          <w:rFonts w:ascii="Arial" w:cs="Arial" w:eastAsia="Arial" w:hAnsi="Arial"/>
          <w:b/>
          <w:bCs/>
          <w:color w:val="0A3D62"/>
          <w:sz w:val="28"/>
          <w:szCs w:val="28"/>
        </w:rPr>
        <w:t xml:space="preserve">5. SERVICE AVAILABILITY AND SLA</w:t>
      </w:r>
    </w:p>
    <w:p>
      <w:pPr>
        <w:pStyle w:val="Heading2"/>
        <w:spacing w:after="120" w:before="240"/>
      </w:pPr>
      <w:r>
        <w:rPr>
          <w:rFonts w:ascii="Arial" w:cs="Arial" w:eastAsia="Arial" w:hAnsi="Arial"/>
          <w:b/>
          <w:bCs/>
          <w:color w:val="1A73E8"/>
          <w:sz w:val="24"/>
          <w:szCs w:val="24"/>
        </w:rPr>
        <w:t xml:space="preserve">5.1 Uptime Commitment</w:t>
      </w:r>
    </w:p>
    <w:p>
      <w:pPr>
        <w:spacing w:after="160"/>
        <w:jc w:val="left"/>
      </w:pPr>
      <w:r>
        <w:rPr>
          <w:rFonts w:ascii="Arial" w:cs="Arial" w:eastAsia="Arial" w:hAnsi="Arial"/>
          <w:color w:val="000000"/>
          <w:sz w:val="22"/>
          <w:szCs w:val="22"/>
        </w:rPr>
        <w:t xml:space="preserve">The Provider shall use commercially reasonable efforts to maintain Service availability of not less than 99% per calendar month ("Uptime Commitment"), excluding:</w:t>
      </w:r>
    </w:p>
    <w:p>
      <w:pPr>
        <w:pStyle w:val="ListParagraph"/>
        <w:numPr>
          <w:ilvl w:val="0"/>
          <w:numId w:val="2"/>
        </w:numPr>
        <w:spacing w:after="100"/>
      </w:pPr>
      <w:r>
        <w:rPr>
          <w:rFonts w:ascii="Arial" w:cs="Arial" w:eastAsia="Arial" w:hAnsi="Arial"/>
          <w:color w:val="000000"/>
          <w:sz w:val="22"/>
          <w:szCs w:val="22"/>
        </w:rPr>
        <w:t xml:space="preserve">Scheduled maintenance windows (notified at least 48 hours in advance and conducted outside peak hours).</w:t>
      </w:r>
    </w:p>
    <w:p>
      <w:pPr>
        <w:pStyle w:val="ListParagraph"/>
        <w:numPr>
          <w:ilvl w:val="0"/>
          <w:numId w:val="2"/>
        </w:numPr>
        <w:spacing w:after="100"/>
      </w:pPr>
      <w:r>
        <w:rPr>
          <w:rFonts w:ascii="Arial" w:cs="Arial" w:eastAsia="Arial" w:hAnsi="Arial"/>
          <w:color w:val="000000"/>
          <w:sz w:val="22"/>
          <w:szCs w:val="22"/>
        </w:rPr>
        <w:t xml:space="preserve">Downtime caused by third-party infrastructure providers (including cloud hosting or internet service providers).</w:t>
      </w:r>
    </w:p>
    <w:p>
      <w:pPr>
        <w:pStyle w:val="ListParagraph"/>
        <w:numPr>
          <w:ilvl w:val="0"/>
          <w:numId w:val="2"/>
        </w:numPr>
        <w:spacing w:after="100"/>
      </w:pPr>
      <w:r>
        <w:rPr>
          <w:rFonts w:ascii="Arial" w:cs="Arial" w:eastAsia="Arial" w:hAnsi="Arial"/>
          <w:color w:val="000000"/>
          <w:sz w:val="22"/>
          <w:szCs w:val="22"/>
        </w:rPr>
        <w:t xml:space="preserve">Force majeure events (as defined in Section 12).</w:t>
      </w:r>
    </w:p>
    <w:p>
      <w:pPr>
        <w:pStyle w:val="ListParagraph"/>
        <w:numPr>
          <w:ilvl w:val="0"/>
          <w:numId w:val="2"/>
        </w:numPr>
        <w:spacing w:after="100"/>
      </w:pPr>
      <w:r>
        <w:rPr>
          <w:rFonts w:ascii="Arial" w:cs="Arial" w:eastAsia="Arial" w:hAnsi="Arial"/>
          <w:color w:val="000000"/>
          <w:sz w:val="22"/>
          <w:szCs w:val="22"/>
        </w:rPr>
        <w:t xml:space="preserve">Downtime caused by misuse of the platform by the Client or its Authorised Users.</w:t>
      </w:r>
    </w:p>
    <w:p>
      <w:pPr>
        <w:spacing w:after="80"/>
      </w:pPr>
      <w:r>
        <w:t xml:space="preserve"/>
      </w:r>
    </w:p>
    <w:p>
      <w:pPr>
        <w:pStyle w:val="Heading2"/>
        <w:spacing w:after="120" w:before="240"/>
      </w:pPr>
      <w:r>
        <w:rPr>
          <w:rFonts w:ascii="Arial" w:cs="Arial" w:eastAsia="Arial" w:hAnsi="Arial"/>
          <w:b/>
          <w:bCs/>
          <w:color w:val="1A73E8"/>
          <w:sz w:val="24"/>
          <w:szCs w:val="24"/>
        </w:rPr>
        <w:t xml:space="preserve">5.2 Remedies for Downtime</w:t>
      </w:r>
    </w:p>
    <w:p>
      <w:pPr>
        <w:spacing w:after="160"/>
        <w:jc w:val="left"/>
      </w:pPr>
      <w:r>
        <w:rPr>
          <w:rFonts w:ascii="Arial" w:cs="Arial" w:eastAsia="Arial" w:hAnsi="Arial"/>
          <w:color w:val="000000"/>
          <w:sz w:val="22"/>
          <w:szCs w:val="22"/>
        </w:rPr>
        <w:t xml:space="preserve">If the Provider fails to meet the Uptime Commitment in any calendar month, the Client shall be entitled to a credit against the next month's subscription fee, calculated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Monthly Uptime</w:t>
            </w:r>
          </w:p>
        </w:tc>
        <w:tc>
          <w:tcPr>
            <w:tcW w:type="dxa" w:w="5526"/>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Service Credit</w:t>
            </w:r>
          </w:p>
        </w:tc>
      </w:tr>
      <w:tr>
        <w:tc>
          <w:tcPr>
            <w:tcW w:type="dxa" w:w="3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99.0% – 99.9%</w:t>
            </w:r>
          </w:p>
        </w:tc>
        <w:tc>
          <w:tcPr>
            <w:tcW w:type="dxa" w:w="55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No credit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95.0% – 98.9%</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 credit on next month's fee</w:t>
            </w:r>
          </w:p>
        </w:tc>
      </w:tr>
      <w:tr>
        <w:tc>
          <w:tcPr>
            <w:tcW w:type="dxa" w:w="3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90.0% – 94.9%</w:t>
            </w:r>
          </w:p>
        </w:tc>
        <w:tc>
          <w:tcPr>
            <w:tcW w:type="dxa" w:w="55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25% credit on next month's fee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Below 90%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50% credit on next month's fee</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6. DATA OWNERSHIP AND PROTECTION</w:t>
      </w:r>
    </w:p>
    <w:p>
      <w:pPr>
        <w:pStyle w:val="Heading2"/>
        <w:spacing w:after="120" w:before="240"/>
      </w:pPr>
      <w:r>
        <w:rPr>
          <w:rFonts w:ascii="Arial" w:cs="Arial" w:eastAsia="Arial" w:hAnsi="Arial"/>
          <w:b/>
          <w:bCs/>
          <w:color w:val="1A73E8"/>
          <w:sz w:val="24"/>
          <w:szCs w:val="24"/>
        </w:rPr>
        <w:t xml:space="preserve">6.1 Client Data Ownership</w:t>
      </w:r>
    </w:p>
    <w:p>
      <w:pPr>
        <w:spacing w:after="160"/>
        <w:jc w:val="left"/>
      </w:pPr>
      <w:r>
        <w:rPr>
          <w:rFonts w:ascii="Arial" w:cs="Arial" w:eastAsia="Arial" w:hAnsi="Arial"/>
          <w:color w:val="000000"/>
          <w:sz w:val="22"/>
          <w:szCs w:val="22"/>
        </w:rPr>
        <w:t xml:space="preserve">The Client retains full ownership of all Client Data at all times. The Provider claims no ownership rights over patient records or any other data entered into the platform by the Client.</w:t>
      </w:r>
    </w:p>
    <w:p>
      <w:pPr>
        <w:pStyle w:val="Heading2"/>
        <w:spacing w:after="120" w:before="240"/>
      </w:pPr>
      <w:r>
        <w:rPr>
          <w:rFonts w:ascii="Arial" w:cs="Arial" w:eastAsia="Arial" w:hAnsi="Arial"/>
          <w:b/>
          <w:bCs/>
          <w:color w:val="1A73E8"/>
          <w:sz w:val="24"/>
          <w:szCs w:val="24"/>
        </w:rPr>
        <w:t xml:space="preserve">6.2 Data Processing</w:t>
      </w:r>
    </w:p>
    <w:p>
      <w:pPr>
        <w:spacing w:after="160"/>
        <w:jc w:val="left"/>
      </w:pPr>
      <w:r>
        <w:rPr>
          <w:rFonts w:ascii="Arial" w:cs="Arial" w:eastAsia="Arial" w:hAnsi="Arial"/>
          <w:color w:val="000000"/>
          <w:sz w:val="22"/>
          <w:szCs w:val="22"/>
        </w:rPr>
        <w:t xml:space="preserve">The Provider processes Client Data solely for the purpose of delivering the Service. The Provider shall not sell, share, or disclose Client Data to any third party except as required by law or with the Client's prior written consent. A separate Data Processing Agreement governs the specific terms of data handling in compliance with the Nigeria Data Protection Regulation (NDPR).</w:t>
      </w:r>
    </w:p>
    <w:p>
      <w:pPr>
        <w:pStyle w:val="Heading2"/>
        <w:spacing w:after="120" w:before="240"/>
      </w:pPr>
      <w:r>
        <w:rPr>
          <w:rFonts w:ascii="Arial" w:cs="Arial" w:eastAsia="Arial" w:hAnsi="Arial"/>
          <w:b/>
          <w:bCs/>
          <w:color w:val="1A73E8"/>
          <w:sz w:val="24"/>
          <w:szCs w:val="24"/>
        </w:rPr>
        <w:t xml:space="preserve">6.3 Data Security</w:t>
      </w:r>
    </w:p>
    <w:p>
      <w:pPr>
        <w:spacing w:after="160"/>
        <w:jc w:val="left"/>
      </w:pPr>
      <w:r>
        <w:rPr>
          <w:rFonts w:ascii="Arial" w:cs="Arial" w:eastAsia="Arial" w:hAnsi="Arial"/>
          <w:color w:val="000000"/>
          <w:sz w:val="22"/>
          <w:szCs w:val="22"/>
        </w:rPr>
        <w:t xml:space="preserve">The Provider shall implement and maintain appropriate technical and organisational measures to protect Client Data against unauthorised access, disclosure, alteration, or destruction, including:</w:t>
      </w:r>
    </w:p>
    <w:p>
      <w:pPr>
        <w:pStyle w:val="ListParagraph"/>
        <w:numPr>
          <w:ilvl w:val="0"/>
          <w:numId w:val="2"/>
        </w:numPr>
        <w:spacing w:after="100"/>
      </w:pPr>
      <w:r>
        <w:rPr>
          <w:rFonts w:ascii="Arial" w:cs="Arial" w:eastAsia="Arial" w:hAnsi="Arial"/>
          <w:color w:val="000000"/>
          <w:sz w:val="22"/>
          <w:szCs w:val="22"/>
        </w:rPr>
        <w:t xml:space="preserve">AES-256 encryption of data at rest.</w:t>
      </w:r>
    </w:p>
    <w:p>
      <w:pPr>
        <w:pStyle w:val="ListParagraph"/>
        <w:numPr>
          <w:ilvl w:val="0"/>
          <w:numId w:val="2"/>
        </w:numPr>
        <w:spacing w:after="100"/>
      </w:pPr>
      <w:r>
        <w:rPr>
          <w:rFonts w:ascii="Arial" w:cs="Arial" w:eastAsia="Arial" w:hAnsi="Arial"/>
          <w:color w:val="000000"/>
          <w:sz w:val="22"/>
          <w:szCs w:val="22"/>
        </w:rPr>
        <w:t xml:space="preserve">TLS 1.3 encryption of data in transit.</w:t>
      </w:r>
    </w:p>
    <w:p>
      <w:pPr>
        <w:pStyle w:val="ListParagraph"/>
        <w:numPr>
          <w:ilvl w:val="0"/>
          <w:numId w:val="2"/>
        </w:numPr>
        <w:spacing w:after="100"/>
      </w:pPr>
      <w:r>
        <w:rPr>
          <w:rFonts w:ascii="Arial" w:cs="Arial" w:eastAsia="Arial" w:hAnsi="Arial"/>
          <w:color w:val="000000"/>
          <w:sz w:val="22"/>
          <w:szCs w:val="22"/>
        </w:rPr>
        <w:t xml:space="preserve">Role-based access controls and multi-factor authentication.</w:t>
      </w:r>
    </w:p>
    <w:p>
      <w:pPr>
        <w:pStyle w:val="ListParagraph"/>
        <w:numPr>
          <w:ilvl w:val="0"/>
          <w:numId w:val="2"/>
        </w:numPr>
        <w:spacing w:after="100"/>
      </w:pPr>
      <w:r>
        <w:rPr>
          <w:rFonts w:ascii="Arial" w:cs="Arial" w:eastAsia="Arial" w:hAnsi="Arial"/>
          <w:color w:val="000000"/>
          <w:sz w:val="22"/>
          <w:szCs w:val="22"/>
        </w:rPr>
        <w:t xml:space="preserve">Regular security audits and penetration testing.</w:t>
      </w:r>
    </w:p>
    <w:p>
      <w:pPr>
        <w:pStyle w:val="ListParagraph"/>
        <w:numPr>
          <w:ilvl w:val="0"/>
          <w:numId w:val="2"/>
        </w:numPr>
        <w:spacing w:after="100"/>
      </w:pPr>
      <w:r>
        <w:rPr>
          <w:rFonts w:ascii="Arial" w:cs="Arial" w:eastAsia="Arial" w:hAnsi="Arial"/>
          <w:color w:val="000000"/>
          <w:sz w:val="22"/>
          <w:szCs w:val="22"/>
        </w:rPr>
        <w:t xml:space="preserve">Nightly automated backups with 30-day retention.</w:t>
      </w:r>
    </w:p>
    <w:p>
      <w:pPr>
        <w:spacing w:after="80"/>
      </w:pPr>
      <w:r>
        <w:t xml:space="preserve"/>
      </w:r>
    </w:p>
    <w:p>
      <w:pPr>
        <w:pStyle w:val="Heading2"/>
        <w:spacing w:after="120" w:before="240"/>
      </w:pPr>
      <w:r>
        <w:rPr>
          <w:rFonts w:ascii="Arial" w:cs="Arial" w:eastAsia="Arial" w:hAnsi="Arial"/>
          <w:b/>
          <w:bCs/>
          <w:color w:val="1A73E8"/>
          <w:sz w:val="24"/>
          <w:szCs w:val="24"/>
        </w:rPr>
        <w:t xml:space="preserve">6.4 Data Breach Notification</w:t>
      </w:r>
    </w:p>
    <w:p>
      <w:pPr>
        <w:spacing w:after="160"/>
        <w:jc w:val="left"/>
      </w:pPr>
      <w:r>
        <w:rPr>
          <w:rFonts w:ascii="Arial" w:cs="Arial" w:eastAsia="Arial" w:hAnsi="Arial"/>
          <w:color w:val="000000"/>
          <w:sz w:val="22"/>
          <w:szCs w:val="22"/>
        </w:rPr>
        <w:t xml:space="preserve">In the event of a confirmed data breach affecting Client Data, the Provider shall notify the Client within 72 hours of becoming aware of the breach, and shall cooperate with the Client to investigate and mitigate the impact.</w:t>
      </w:r>
    </w:p>
    <w:p>
      <w:pPr>
        <w:pStyle w:val="Heading2"/>
        <w:spacing w:after="120" w:before="240"/>
      </w:pPr>
      <w:r>
        <w:rPr>
          <w:rFonts w:ascii="Arial" w:cs="Arial" w:eastAsia="Arial" w:hAnsi="Arial"/>
          <w:b/>
          <w:bCs/>
          <w:color w:val="1A73E8"/>
          <w:sz w:val="24"/>
          <w:szCs w:val="24"/>
        </w:rPr>
        <w:t xml:space="preserve">6.5 Data Portability and Export</w:t>
      </w:r>
    </w:p>
    <w:p>
      <w:pPr>
        <w:spacing w:after="160"/>
        <w:jc w:val="left"/>
      </w:pPr>
      <w:r>
        <w:rPr>
          <w:rFonts w:ascii="Arial" w:cs="Arial" w:eastAsia="Arial" w:hAnsi="Arial"/>
          <w:color w:val="000000"/>
          <w:sz w:val="22"/>
          <w:szCs w:val="22"/>
        </w:rPr>
        <w:t xml:space="preserve">Upon termination of this Agreement for any reason, the Client may request an export of all its data in a standard machine-readable format (CSV or JSON) within thirty (30) days of the termination date. The Provider shall comply with such a request at no additional charge.</w:t>
      </w:r>
    </w:p>
    <w:p>
      <w:pPr>
        <w:pStyle w:val="Heading1"/>
        <w:spacing w:after="160" w:before="360"/>
      </w:pPr>
      <w:r>
        <w:rPr>
          <w:rFonts w:ascii="Arial" w:cs="Arial" w:eastAsia="Arial" w:hAnsi="Arial"/>
          <w:b/>
          <w:bCs/>
          <w:color w:val="0A3D62"/>
          <w:sz w:val="28"/>
          <w:szCs w:val="28"/>
        </w:rPr>
        <w:t xml:space="preserve">7. CLIENT OBLIGATIONS</w:t>
      </w:r>
    </w:p>
    <w:p>
      <w:pPr>
        <w:spacing w:after="160"/>
        <w:jc w:val="left"/>
      </w:pPr>
      <w:r>
        <w:rPr>
          <w:rFonts w:ascii="Arial" w:cs="Arial" w:eastAsia="Arial" w:hAnsi="Arial"/>
          <w:color w:val="000000"/>
          <w:sz w:val="22"/>
          <w:szCs w:val="22"/>
        </w:rPr>
        <w:t xml:space="preserve">The Client agrees to:</w:t>
      </w:r>
    </w:p>
    <w:p>
      <w:pPr>
        <w:pStyle w:val="ListParagraph"/>
        <w:numPr>
          <w:ilvl w:val="0"/>
          <w:numId w:val="3"/>
        </w:numPr>
        <w:spacing w:after="120"/>
      </w:pPr>
      <w:r>
        <w:rPr>
          <w:rFonts w:ascii="Arial" w:cs="Arial" w:eastAsia="Arial" w:hAnsi="Arial"/>
          <w:color w:val="000000"/>
          <w:sz w:val="22"/>
          <w:szCs w:val="22"/>
        </w:rPr>
        <w:t xml:space="preserve">Use the Service only for lawful purposes and in accordance with this Agreement.</w:t>
      </w:r>
    </w:p>
    <w:p>
      <w:pPr>
        <w:pStyle w:val="ListParagraph"/>
        <w:numPr>
          <w:ilvl w:val="0"/>
          <w:numId w:val="3"/>
        </w:numPr>
        <w:spacing w:after="120"/>
      </w:pPr>
      <w:r>
        <w:rPr>
          <w:rFonts w:ascii="Arial" w:cs="Arial" w:eastAsia="Arial" w:hAnsi="Arial"/>
          <w:color w:val="000000"/>
          <w:sz w:val="22"/>
          <w:szCs w:val="22"/>
        </w:rPr>
        <w:t xml:space="preserve">Ensure that all Authorised Users comply with this Agreement and any usage policies notified by the Provider.</w:t>
      </w:r>
    </w:p>
    <w:p>
      <w:pPr>
        <w:pStyle w:val="ListParagraph"/>
        <w:numPr>
          <w:ilvl w:val="0"/>
          <w:numId w:val="3"/>
        </w:numPr>
        <w:spacing w:after="120"/>
      </w:pPr>
      <w:r>
        <w:rPr>
          <w:rFonts w:ascii="Arial" w:cs="Arial" w:eastAsia="Arial" w:hAnsi="Arial"/>
          <w:color w:val="000000"/>
          <w:sz w:val="22"/>
          <w:szCs w:val="22"/>
        </w:rPr>
        <w:t xml:space="preserve">Maintain the security of login credentials and promptly notify the Provider of any suspected unauthorised access.</w:t>
      </w:r>
    </w:p>
    <w:p>
      <w:pPr>
        <w:pStyle w:val="ListParagraph"/>
        <w:numPr>
          <w:ilvl w:val="0"/>
          <w:numId w:val="3"/>
        </w:numPr>
        <w:spacing w:after="120"/>
      </w:pPr>
      <w:r>
        <w:rPr>
          <w:rFonts w:ascii="Arial" w:cs="Arial" w:eastAsia="Arial" w:hAnsi="Arial"/>
          <w:color w:val="000000"/>
          <w:sz w:val="22"/>
          <w:szCs w:val="22"/>
        </w:rPr>
        <w:t xml:space="preserve">Not attempt to reverse engineer, copy, reproduce, or create derivative works from the Service.</w:t>
      </w:r>
    </w:p>
    <w:p>
      <w:pPr>
        <w:pStyle w:val="ListParagraph"/>
        <w:numPr>
          <w:ilvl w:val="0"/>
          <w:numId w:val="3"/>
        </w:numPr>
        <w:spacing w:after="120"/>
      </w:pPr>
      <w:r>
        <w:rPr>
          <w:rFonts w:ascii="Arial" w:cs="Arial" w:eastAsia="Arial" w:hAnsi="Arial"/>
          <w:color w:val="000000"/>
          <w:sz w:val="22"/>
          <w:szCs w:val="22"/>
        </w:rPr>
        <w:t xml:space="preserve">Not sublicence, resell, or transfer access to the Service to any third party.</w:t>
      </w:r>
    </w:p>
    <w:p>
      <w:pPr>
        <w:pStyle w:val="ListParagraph"/>
        <w:numPr>
          <w:ilvl w:val="0"/>
          <w:numId w:val="3"/>
        </w:numPr>
        <w:spacing w:after="120"/>
      </w:pPr>
      <w:r>
        <w:rPr>
          <w:rFonts w:ascii="Arial" w:cs="Arial" w:eastAsia="Arial" w:hAnsi="Arial"/>
          <w:color w:val="000000"/>
          <w:sz w:val="22"/>
          <w:szCs w:val="22"/>
        </w:rPr>
        <w:t xml:space="preserve">Ensure the accuracy of data entered into the platform and maintain appropriate clinical oversight of AI-generated content.</w:t>
      </w:r>
    </w:p>
    <w:p>
      <w:pPr>
        <w:pStyle w:val="ListParagraph"/>
        <w:numPr>
          <w:ilvl w:val="0"/>
          <w:numId w:val="3"/>
        </w:numPr>
        <w:spacing w:after="120"/>
      </w:pPr>
      <w:r>
        <w:rPr>
          <w:rFonts w:ascii="Arial" w:cs="Arial" w:eastAsia="Arial" w:hAnsi="Arial"/>
          <w:color w:val="000000"/>
          <w:sz w:val="22"/>
          <w:szCs w:val="22"/>
        </w:rPr>
        <w:t xml:space="preserve">Promptly pay all fees when due.</w:t>
      </w:r>
    </w:p>
    <w:p>
      <w:pPr>
        <w:pStyle w:val="Heading1"/>
        <w:spacing w:after="160" w:before="360"/>
      </w:pPr>
      <w:r>
        <w:rPr>
          <w:rFonts w:ascii="Arial" w:cs="Arial" w:eastAsia="Arial" w:hAnsi="Arial"/>
          <w:b/>
          <w:bCs/>
          <w:color w:val="0A3D62"/>
          <w:sz w:val="28"/>
          <w:szCs w:val="28"/>
        </w:rPr>
        <w:t xml:space="preserve">8. INTELLECTUAL PROPERTY</w:t>
      </w:r>
    </w:p>
    <w:p>
      <w:pPr>
        <w:spacing w:after="160"/>
        <w:jc w:val="left"/>
      </w:pPr>
      <w:r>
        <w:rPr>
          <w:rFonts w:ascii="Arial" w:cs="Arial" w:eastAsia="Arial" w:hAnsi="Arial"/>
          <w:color w:val="000000"/>
          <w:sz w:val="22"/>
          <w:szCs w:val="22"/>
        </w:rPr>
        <w:t xml:space="preserve">The Service, including all software, designs, algorithms, AI models, and related documentation, is and shall remain the exclusive intellectual property of the Provider. This Agreement grants the Client a limited licence to use the Service and does not transfer any ownership of intellectual property to the Client.</w:t>
      </w:r>
    </w:p>
    <w:p>
      <w:pPr>
        <w:pStyle w:val="Heading1"/>
        <w:spacing w:after="160" w:before="360"/>
      </w:pPr>
      <w:r>
        <w:rPr>
          <w:rFonts w:ascii="Arial" w:cs="Arial" w:eastAsia="Arial" w:hAnsi="Arial"/>
          <w:b/>
          <w:bCs/>
          <w:color w:val="0A3D62"/>
          <w:sz w:val="28"/>
          <w:szCs w:val="28"/>
        </w:rPr>
        <w:t xml:space="preserve">9. CONFIDENTIALITY</w:t>
      </w:r>
    </w:p>
    <w:p>
      <w:pPr>
        <w:spacing w:after="160"/>
        <w:jc w:val="left"/>
      </w:pPr>
      <w:r>
        <w:rPr>
          <w:rFonts w:ascii="Arial" w:cs="Arial" w:eastAsia="Arial" w:hAnsi="Arial"/>
          <w:color w:val="000000"/>
          <w:sz w:val="22"/>
          <w:szCs w:val="22"/>
        </w:rPr>
        <w:t xml:space="preserve">Each party agrees to keep confidential all non-public information of the other party obtained in connection with this Agreement and to use such information only for the purposes of this Agreement. This obligation shall survive termination of this Agreement for five (5) years.</w:t>
      </w:r>
    </w:p>
    <w:p>
      <w:pPr>
        <w:pStyle w:val="Heading1"/>
        <w:spacing w:after="160" w:before="360"/>
      </w:pPr>
      <w:r>
        <w:rPr>
          <w:rFonts w:ascii="Arial" w:cs="Arial" w:eastAsia="Arial" w:hAnsi="Arial"/>
          <w:b/>
          <w:bCs/>
          <w:color w:val="0A3D62"/>
          <w:sz w:val="28"/>
          <w:szCs w:val="28"/>
        </w:rPr>
        <w:t xml:space="preserve">10. LIMITATION OF LIABILITY</w:t>
      </w:r>
    </w:p>
    <w:p>
      <w:pPr>
        <w:pStyle w:val="Heading2"/>
        <w:spacing w:after="120" w:before="240"/>
      </w:pPr>
      <w:r>
        <w:rPr>
          <w:rFonts w:ascii="Arial" w:cs="Arial" w:eastAsia="Arial" w:hAnsi="Arial"/>
          <w:b/>
          <w:bCs/>
          <w:color w:val="1A73E8"/>
          <w:sz w:val="24"/>
          <w:szCs w:val="24"/>
        </w:rPr>
        <w:t xml:space="preserve">10.1 Exclusion of Consequential Damages</w:t>
      </w:r>
    </w:p>
    <w:p>
      <w:pPr>
        <w:spacing w:after="160"/>
        <w:jc w:val="left"/>
      </w:pPr>
      <w:r>
        <w:rPr>
          <w:rFonts w:ascii="Arial" w:cs="Arial" w:eastAsia="Arial" w:hAnsi="Arial"/>
          <w:color w:val="000000"/>
          <w:sz w:val="22"/>
          <w:szCs w:val="22"/>
        </w:rPr>
        <w:t xml:space="preserve">In no event shall either party be liable to the other for any indirect, incidental, special, consequential, or punitive damages, including loss of profits, loss of revenue, loss of data, or business interruption, arising out of or related to this Agreement, regardless of whether such party has been advised of the possibility of such damages.</w:t>
      </w:r>
    </w:p>
    <w:p>
      <w:pPr>
        <w:pStyle w:val="Heading2"/>
        <w:spacing w:after="120" w:before="240"/>
      </w:pPr>
      <w:r>
        <w:rPr>
          <w:rFonts w:ascii="Arial" w:cs="Arial" w:eastAsia="Arial" w:hAnsi="Arial"/>
          <w:b/>
          <w:bCs/>
          <w:color w:val="1A73E8"/>
          <w:sz w:val="24"/>
          <w:szCs w:val="24"/>
        </w:rPr>
        <w:t xml:space="preserve">10.2 Cap on Liability</w:t>
      </w:r>
    </w:p>
    <w:p>
      <w:pPr>
        <w:spacing w:after="160"/>
        <w:jc w:val="left"/>
      </w:pPr>
      <w:r>
        <w:rPr>
          <w:rFonts w:ascii="Arial" w:cs="Arial" w:eastAsia="Arial" w:hAnsi="Arial"/>
          <w:color w:val="000000"/>
          <w:sz w:val="22"/>
          <w:szCs w:val="22"/>
        </w:rPr>
        <w:t xml:space="preserve">The Provider's total aggregate liability to the Client for any and all claims arising under or in connection with this Agreement shall not exceed the total fees paid by the Client in the three (3) months immediately preceding the event giving rise to the claim.</w:t>
      </w:r>
    </w:p>
    <w:p>
      <w:pPr>
        <w:pStyle w:val="Heading2"/>
        <w:spacing w:after="120" w:before="240"/>
      </w:pPr>
      <w:r>
        <w:rPr>
          <w:rFonts w:ascii="Arial" w:cs="Arial" w:eastAsia="Arial" w:hAnsi="Arial"/>
          <w:b/>
          <w:bCs/>
          <w:color w:val="1A73E8"/>
          <w:sz w:val="24"/>
          <w:szCs w:val="24"/>
        </w:rPr>
        <w:t xml:space="preserve">10.3 Clinical Disclaimer</w:t>
      </w:r>
    </w:p>
    <w:p>
      <w:pPr>
        <w:spacing w:after="160"/>
        <w:jc w:val="left"/>
      </w:pPr>
      <w:r>
        <w:rPr>
          <w:rFonts w:ascii="Arial" w:cs="Arial" w:eastAsia="Arial" w:hAnsi="Arial"/>
          <w:color w:val="000000"/>
          <w:sz w:val="22"/>
          <w:szCs w:val="22"/>
        </w:rPr>
        <w:t xml:space="preserve">The Service is a documentation and management tool. The Provider does not provide medical advice. The Client is solely responsible for all clinical decisions made by its staff. AI-generated summaries and recommendations within the platform are provided as assistance tools and must be reviewed and verified by qualified medical professionals before any clinical action is taken.</w:t>
      </w:r>
    </w:p>
    <w:p>
      <w:pPr>
        <w:pStyle w:val="Heading1"/>
        <w:spacing w:after="160" w:before="360"/>
      </w:pPr>
      <w:r>
        <w:rPr>
          <w:rFonts w:ascii="Arial" w:cs="Arial" w:eastAsia="Arial" w:hAnsi="Arial"/>
          <w:b/>
          <w:bCs/>
          <w:color w:val="0A3D62"/>
          <w:sz w:val="28"/>
          <w:szCs w:val="28"/>
        </w:rPr>
        <w:t xml:space="preserve">11. TERM AND TERMINATION</w:t>
      </w:r>
    </w:p>
    <w:p>
      <w:pPr>
        <w:pStyle w:val="Heading2"/>
        <w:spacing w:after="120" w:before="240"/>
      </w:pPr>
      <w:r>
        <w:rPr>
          <w:rFonts w:ascii="Arial" w:cs="Arial" w:eastAsia="Arial" w:hAnsi="Arial"/>
          <w:b/>
          <w:bCs/>
          <w:color w:val="1A73E8"/>
          <w:sz w:val="24"/>
          <w:szCs w:val="24"/>
        </w:rPr>
        <w:t xml:space="preserve">11.1 Initial Term</w:t>
      </w:r>
    </w:p>
    <w:p>
      <w:pPr>
        <w:spacing w:after="160"/>
        <w:jc w:val="left"/>
      </w:pPr>
      <w:r>
        <w:rPr>
          <w:rFonts w:ascii="Arial" w:cs="Arial" w:eastAsia="Arial" w:hAnsi="Arial"/>
          <w:color w:val="000000"/>
          <w:sz w:val="22"/>
          <w:szCs w:val="22"/>
        </w:rPr>
        <w:t xml:space="preserve">This Agreement shall remain in force for an initial term of twelve (12) months from the Contract Start Date, unless earlier terminated in accordance with this Section.</w:t>
      </w:r>
    </w:p>
    <w:p>
      <w:pPr>
        <w:pStyle w:val="Heading2"/>
        <w:spacing w:after="120" w:before="240"/>
      </w:pPr>
      <w:r>
        <w:rPr>
          <w:rFonts w:ascii="Arial" w:cs="Arial" w:eastAsia="Arial" w:hAnsi="Arial"/>
          <w:b/>
          <w:bCs/>
          <w:color w:val="1A73E8"/>
          <w:sz w:val="24"/>
          <w:szCs w:val="24"/>
        </w:rPr>
        <w:t xml:space="preserve">11.2 Renewal</w:t>
      </w:r>
    </w:p>
    <w:p>
      <w:pPr>
        <w:spacing w:after="160"/>
        <w:jc w:val="left"/>
      </w:pPr>
      <w:r>
        <w:rPr>
          <w:rFonts w:ascii="Arial" w:cs="Arial" w:eastAsia="Arial" w:hAnsi="Arial"/>
          <w:color w:val="000000"/>
          <w:sz w:val="22"/>
          <w:szCs w:val="22"/>
        </w:rPr>
        <w:t xml:space="preserve">This Agreement shall automatically renew for successive twelve (12) month periods unless either party provides written notice of non-renewal at least thirty (30) days before the end of the then-current term.</w:t>
      </w:r>
    </w:p>
    <w:p>
      <w:pPr>
        <w:pStyle w:val="Heading2"/>
        <w:spacing w:after="120" w:before="240"/>
      </w:pPr>
      <w:r>
        <w:rPr>
          <w:rFonts w:ascii="Arial" w:cs="Arial" w:eastAsia="Arial" w:hAnsi="Arial"/>
          <w:b/>
          <w:bCs/>
          <w:color w:val="1A73E8"/>
          <w:sz w:val="24"/>
          <w:szCs w:val="24"/>
        </w:rPr>
        <w:t xml:space="preserve">11.3 Termination for Convenience</w:t>
      </w:r>
    </w:p>
    <w:p>
      <w:pPr>
        <w:spacing w:after="160"/>
        <w:jc w:val="left"/>
      </w:pPr>
      <w:r>
        <w:rPr>
          <w:rFonts w:ascii="Arial" w:cs="Arial" w:eastAsia="Arial" w:hAnsi="Arial"/>
          <w:color w:val="000000"/>
          <w:sz w:val="22"/>
          <w:szCs w:val="22"/>
        </w:rPr>
        <w:t xml:space="preserve">Either party may terminate this Agreement at any time after the initial term by giving thirty (30) days' written notice to the other party. No refunds shall be provided for any prepaid fees.</w:t>
      </w:r>
    </w:p>
    <w:p>
      <w:pPr>
        <w:pStyle w:val="Heading2"/>
        <w:spacing w:after="120" w:before="240"/>
      </w:pPr>
      <w:r>
        <w:rPr>
          <w:rFonts w:ascii="Arial" w:cs="Arial" w:eastAsia="Arial" w:hAnsi="Arial"/>
          <w:b/>
          <w:bCs/>
          <w:color w:val="1A73E8"/>
          <w:sz w:val="24"/>
          <w:szCs w:val="24"/>
        </w:rPr>
        <w:t xml:space="preserve">11.4 Termination for Cause</w:t>
      </w:r>
    </w:p>
    <w:p>
      <w:pPr>
        <w:spacing w:after="160"/>
        <w:jc w:val="left"/>
      </w:pPr>
      <w:r>
        <w:rPr>
          <w:rFonts w:ascii="Arial" w:cs="Arial" w:eastAsia="Arial" w:hAnsi="Arial"/>
          <w:color w:val="000000"/>
          <w:sz w:val="22"/>
          <w:szCs w:val="22"/>
        </w:rPr>
        <w:t xml:space="preserve">Either party may terminate this Agreement immediately by written notice if the other party:</w:t>
      </w:r>
    </w:p>
    <w:p>
      <w:pPr>
        <w:pStyle w:val="ListParagraph"/>
        <w:numPr>
          <w:ilvl w:val="0"/>
          <w:numId w:val="2"/>
        </w:numPr>
        <w:spacing w:after="100"/>
      </w:pPr>
      <w:r>
        <w:rPr>
          <w:rFonts w:ascii="Arial" w:cs="Arial" w:eastAsia="Arial" w:hAnsi="Arial"/>
          <w:color w:val="000000"/>
          <w:sz w:val="22"/>
          <w:szCs w:val="22"/>
        </w:rPr>
        <w:t xml:space="preserve">Commits a material breach of this Agreement that is not remedied within fourteen (14) days of written notice of such breach.</w:t>
      </w:r>
    </w:p>
    <w:p>
      <w:pPr>
        <w:pStyle w:val="ListParagraph"/>
        <w:numPr>
          <w:ilvl w:val="0"/>
          <w:numId w:val="2"/>
        </w:numPr>
        <w:spacing w:after="100"/>
      </w:pPr>
      <w:r>
        <w:rPr>
          <w:rFonts w:ascii="Arial" w:cs="Arial" w:eastAsia="Arial" w:hAnsi="Arial"/>
          <w:color w:val="000000"/>
          <w:sz w:val="22"/>
          <w:szCs w:val="22"/>
        </w:rPr>
        <w:t xml:space="preserve">Becomes insolvent, goes into liquidation, or has a receiver appointed over its assets.</w:t>
      </w:r>
    </w:p>
    <w:p>
      <w:pPr>
        <w:pStyle w:val="ListParagraph"/>
        <w:numPr>
          <w:ilvl w:val="0"/>
          <w:numId w:val="2"/>
        </w:numPr>
        <w:spacing w:after="100"/>
      </w:pPr>
      <w:r>
        <w:rPr>
          <w:rFonts w:ascii="Arial" w:cs="Arial" w:eastAsia="Arial" w:hAnsi="Arial"/>
          <w:color w:val="000000"/>
          <w:sz w:val="22"/>
          <w:szCs w:val="22"/>
        </w:rPr>
        <w:t xml:space="preserve">Engages in any fraudulent or illegal conduct.</w:t>
      </w:r>
    </w:p>
    <w:p>
      <w:pPr>
        <w:spacing w:after="80"/>
      </w:pPr>
      <w:r>
        <w:t xml:space="preserve"/>
      </w:r>
    </w:p>
    <w:p>
      <w:pPr>
        <w:pStyle w:val="Heading2"/>
        <w:spacing w:after="120" w:before="240"/>
      </w:pPr>
      <w:r>
        <w:rPr>
          <w:rFonts w:ascii="Arial" w:cs="Arial" w:eastAsia="Arial" w:hAnsi="Arial"/>
          <w:b/>
          <w:bCs/>
          <w:color w:val="1A73E8"/>
          <w:sz w:val="24"/>
          <w:szCs w:val="24"/>
        </w:rPr>
        <w:t xml:space="preserve">11.5 Effect of Termination</w:t>
      </w:r>
    </w:p>
    <w:p>
      <w:pPr>
        <w:spacing w:after="160"/>
        <w:jc w:val="left"/>
      </w:pPr>
      <w:r>
        <w:rPr>
          <w:rFonts w:ascii="Arial" w:cs="Arial" w:eastAsia="Arial" w:hAnsi="Arial"/>
          <w:color w:val="000000"/>
          <w:sz w:val="22"/>
          <w:szCs w:val="22"/>
        </w:rPr>
        <w:t xml:space="preserve">Upon termination, the Client's access to the Service shall cease. The Provider shall make Client Data available for export for thirty (30) days following termination, after which the data may be permanently deleted. Sections 6, 8, 9, 10, and 13 shall survive termination.</w:t>
      </w:r>
    </w:p>
    <w:p>
      <w:pPr>
        <w:pStyle w:val="Heading1"/>
        <w:spacing w:after="160" w:before="360"/>
      </w:pPr>
      <w:r>
        <w:rPr>
          <w:rFonts w:ascii="Arial" w:cs="Arial" w:eastAsia="Arial" w:hAnsi="Arial"/>
          <w:b/>
          <w:bCs/>
          <w:color w:val="0A3D62"/>
          <w:sz w:val="28"/>
          <w:szCs w:val="28"/>
        </w:rPr>
        <w:t xml:space="preserve">12. FORCE MAJEURE</w:t>
      </w:r>
    </w:p>
    <w:p>
      <w:pPr>
        <w:spacing w:after="160"/>
        <w:jc w:val="left"/>
      </w:pPr>
      <w:r>
        <w:rPr>
          <w:rFonts w:ascii="Arial" w:cs="Arial" w:eastAsia="Arial" w:hAnsi="Arial"/>
          <w:color w:val="000000"/>
          <w:sz w:val="22"/>
          <w:szCs w:val="22"/>
        </w:rPr>
        <w:t xml:space="preserve">Neither party shall be liable for any delay or failure to perform its obligations under this Agreement to the extent caused by circumstances beyond its reasonable control, including but not limited to acts of God, war, terrorism, strikes, power failures, government actions, or internet infrastructure failures. The affected party shall notify the other promptly and shall use reasonable efforts to mitigate the impact.</w:t>
      </w:r>
    </w:p>
    <w:p>
      <w:pPr>
        <w:pStyle w:val="Heading1"/>
        <w:spacing w:after="160" w:before="360"/>
      </w:pPr>
      <w:r>
        <w:rPr>
          <w:rFonts w:ascii="Arial" w:cs="Arial" w:eastAsia="Arial" w:hAnsi="Arial"/>
          <w:b/>
          <w:bCs/>
          <w:color w:val="0A3D62"/>
          <w:sz w:val="28"/>
          <w:szCs w:val="28"/>
        </w:rPr>
        <w:t xml:space="preserve">13. GOVERNING LAW AND DISPUTE RESOLUTION</w:t>
      </w:r>
    </w:p>
    <w:p>
      <w:pPr>
        <w:spacing w:after="160"/>
        <w:jc w:val="left"/>
      </w:pPr>
      <w:r>
        <w:rPr>
          <w:rFonts w:ascii="Arial" w:cs="Arial" w:eastAsia="Arial" w:hAnsi="Arial"/>
          <w:color w:val="000000"/>
          <w:sz w:val="22"/>
          <w:szCs w:val="22"/>
        </w:rPr>
        <w:t xml:space="preserve">This Agreement is governed by the laws of the Federal Republic of Nigeria. Any dispute shall be resolved first by good-faith negotiation, then by mediation, and if unresolved, by binding arbitration under the Arbitration and Conciliation Act of Nigeria, with the seat of arbitration in Lagos.</w:t>
      </w:r>
    </w:p>
    <w:p>
      <w:pPr>
        <w:pStyle w:val="Heading1"/>
        <w:spacing w:after="160" w:before="360"/>
      </w:pPr>
      <w:r>
        <w:rPr>
          <w:rFonts w:ascii="Arial" w:cs="Arial" w:eastAsia="Arial" w:hAnsi="Arial"/>
          <w:b/>
          <w:bCs/>
          <w:color w:val="0A3D62"/>
          <w:sz w:val="28"/>
          <w:szCs w:val="28"/>
        </w:rPr>
        <w:t xml:space="preserve">14. GENERAL PROVISIONS</w:t>
      </w:r>
    </w:p>
    <w:p>
      <w:pPr>
        <w:pStyle w:val="Heading2"/>
        <w:spacing w:after="120" w:before="240"/>
      </w:pPr>
      <w:r>
        <w:rPr>
          <w:rFonts w:ascii="Arial" w:cs="Arial" w:eastAsia="Arial" w:hAnsi="Arial"/>
          <w:b/>
          <w:bCs/>
          <w:color w:val="1A73E8"/>
          <w:sz w:val="24"/>
          <w:szCs w:val="24"/>
        </w:rPr>
        <w:t xml:space="preserve">14.1 Entire Agreement</w:t>
      </w:r>
    </w:p>
    <w:p>
      <w:pPr>
        <w:spacing w:after="160"/>
        <w:jc w:val="left"/>
      </w:pPr>
      <w:r>
        <w:rPr>
          <w:rFonts w:ascii="Arial" w:cs="Arial" w:eastAsia="Arial" w:hAnsi="Arial"/>
          <w:color w:val="000000"/>
          <w:sz w:val="22"/>
          <w:szCs w:val="22"/>
        </w:rPr>
        <w:t xml:space="preserve">This Agreement, together with the Data Processing Agreement and any applicable Order Form, constitutes the entire agreement between the Parties and supersedes all prior discussions on the subject matter.</w:t>
      </w:r>
    </w:p>
    <w:p>
      <w:pPr>
        <w:pStyle w:val="Heading2"/>
        <w:spacing w:after="120" w:before="240"/>
      </w:pPr>
      <w:r>
        <w:rPr>
          <w:rFonts w:ascii="Arial" w:cs="Arial" w:eastAsia="Arial" w:hAnsi="Arial"/>
          <w:b/>
          <w:bCs/>
          <w:color w:val="1A73E8"/>
          <w:sz w:val="24"/>
          <w:szCs w:val="24"/>
        </w:rPr>
        <w:t xml:space="preserve">14.2 Amendment</w:t>
      </w:r>
    </w:p>
    <w:p>
      <w:pPr>
        <w:spacing w:after="160"/>
        <w:jc w:val="left"/>
      </w:pPr>
      <w:r>
        <w:rPr>
          <w:rFonts w:ascii="Arial" w:cs="Arial" w:eastAsia="Arial" w:hAnsi="Arial"/>
          <w:color w:val="000000"/>
          <w:sz w:val="22"/>
          <w:szCs w:val="22"/>
        </w:rPr>
        <w:t xml:space="preserve">This Agreement may only be amended by written agreement signed by authorised representatives of both Parties.</w:t>
      </w:r>
    </w:p>
    <w:p>
      <w:pPr>
        <w:pStyle w:val="Heading2"/>
        <w:spacing w:after="120" w:before="240"/>
      </w:pPr>
      <w:r>
        <w:rPr>
          <w:rFonts w:ascii="Arial" w:cs="Arial" w:eastAsia="Arial" w:hAnsi="Arial"/>
          <w:b/>
          <w:bCs/>
          <w:color w:val="1A73E8"/>
          <w:sz w:val="24"/>
          <w:szCs w:val="24"/>
        </w:rPr>
        <w:t xml:space="preserve">14.3 Assignment</w:t>
      </w:r>
    </w:p>
    <w:p>
      <w:pPr>
        <w:spacing w:after="160"/>
        <w:jc w:val="left"/>
      </w:pPr>
      <w:r>
        <w:rPr>
          <w:rFonts w:ascii="Arial" w:cs="Arial" w:eastAsia="Arial" w:hAnsi="Arial"/>
          <w:color w:val="000000"/>
          <w:sz w:val="22"/>
          <w:szCs w:val="22"/>
        </w:rPr>
        <w:t xml:space="preserve">The Client may not assign its rights under this Agreement without prior written consent from the Provider. The Provider may assign its rights to a successor entity in connection with a merger, acquisition, or sale of substantially all its assets.</w:t>
      </w:r>
    </w:p>
    <w:p>
      <w:pPr>
        <w:pStyle w:val="Heading2"/>
        <w:spacing w:after="120" w:before="240"/>
      </w:pPr>
      <w:r>
        <w:rPr>
          <w:rFonts w:ascii="Arial" w:cs="Arial" w:eastAsia="Arial" w:hAnsi="Arial"/>
          <w:b/>
          <w:bCs/>
          <w:color w:val="1A73E8"/>
          <w:sz w:val="24"/>
          <w:szCs w:val="24"/>
        </w:rPr>
        <w:t xml:space="preserve">14.4 Severability</w:t>
      </w:r>
    </w:p>
    <w:p>
      <w:pPr>
        <w:spacing w:after="160"/>
        <w:jc w:val="left"/>
      </w:pPr>
      <w:r>
        <w:rPr>
          <w:rFonts w:ascii="Arial" w:cs="Arial" w:eastAsia="Arial" w:hAnsi="Arial"/>
          <w:color w:val="000000"/>
          <w:sz w:val="22"/>
          <w:szCs w:val="22"/>
        </w:rPr>
        <w:t xml:space="preserve">If any provision of this Agreement is found to be unenforceable, the remaining provisions shall continue in full force and effect.</w:t>
      </w:r>
    </w:p>
    <w:p>
      <w:pPr>
        <w:pStyle w:val="Heading2"/>
        <w:spacing w:after="120" w:before="240"/>
      </w:pPr>
      <w:r>
        <w:rPr>
          <w:rFonts w:ascii="Arial" w:cs="Arial" w:eastAsia="Arial" w:hAnsi="Arial"/>
          <w:b/>
          <w:bCs/>
          <w:color w:val="1A73E8"/>
          <w:sz w:val="24"/>
          <w:szCs w:val="24"/>
        </w:rPr>
        <w:t xml:space="preserve">14.5 Notices</w:t>
      </w:r>
    </w:p>
    <w:p>
      <w:pPr>
        <w:spacing w:after="160"/>
        <w:jc w:val="left"/>
      </w:pPr>
      <w:r>
        <w:rPr>
          <w:rFonts w:ascii="Arial" w:cs="Arial" w:eastAsia="Arial" w:hAnsi="Arial"/>
          <w:color w:val="000000"/>
          <w:sz w:val="22"/>
          <w:szCs w:val="22"/>
        </w:rPr>
        <w:t xml:space="preserve">All notices shall be in writing and delivered by email with confirmation of receipt, or by registered post to the addresses set out in this Agreement.</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authorised representatives of both Parties have executed this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MEDIBANK NEXUS LIMITED</w:t>
            </w:r>
          </w:p>
          <w:p>
            <w:pPr>
              <w:spacing w:after="60"/>
            </w:pPr>
            <w:r>
              <w:rPr>
                <w:rFonts w:ascii="Arial" w:cs="Arial" w:eastAsia="Arial" w:hAnsi="Arial"/>
                <w:color w:val="000000"/>
                <w:sz w:val="22"/>
                <w:szCs w:val="22"/>
              </w:rPr>
              <w:t xml:space="preserve">Service Provider</w:t>
            </w:r>
          </w:p>
          <w:p>
            <w:pPr>
              <w:spacing w:after="480"/>
            </w:pPr>
            <w:r>
              <w:rPr>
                <w:rFonts w:ascii="Arial" w:cs="Arial" w:eastAsia="Arial" w:hAnsi="Arial"/>
                <w:color w:val="000000"/>
                <w:sz w:val="22"/>
                <w:szCs w:val="22"/>
              </w:rPr>
              <w:t xml:space="preserve">[EDIT: Registered Address]</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THE CLIENT (HOSPITAL)</w:t>
            </w:r>
          </w:p>
          <w:p>
            <w:pPr>
              <w:spacing w:after="60"/>
            </w:pPr>
            <w:r>
              <w:rPr>
                <w:rFonts w:ascii="Arial" w:cs="Arial" w:eastAsia="Arial" w:hAnsi="Arial"/>
                <w:i/>
                <w:iCs/>
                <w:color w:val="CC0000"/>
                <w:sz w:val="22"/>
                <w:szCs w:val="22"/>
              </w:rPr>
              <w:t xml:space="preserve">[EDIT: Hospital Name]</w:t>
            </w:r>
          </w:p>
          <w:p>
            <w:pPr>
              <w:spacing w:after="480"/>
            </w:pPr>
            <w:r>
              <w:rPr>
                <w:rFonts w:ascii="Arial" w:cs="Arial" w:eastAsia="Arial" w:hAnsi="Arial"/>
                <w:i/>
                <w:iCs/>
                <w:color w:val="CC0000"/>
                <w:sz w:val="22"/>
                <w:szCs w:val="22"/>
              </w:rPr>
              <w:t xml:space="preserve">[EDIT: Hospital Address]</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Authorised Signatory Name]</w:t>
            </w:r>
          </w:p>
          <w:p>
            <w:pPr>
              <w:spacing w:after="60"/>
            </w:pPr>
            <w:r>
              <w:rPr>
                <w:rFonts w:ascii="Arial" w:cs="Arial" w:eastAsia="Arial" w:hAnsi="Arial"/>
                <w:i/>
                <w:iCs/>
                <w:color w:val="CC0000"/>
                <w:sz w:val="22"/>
                <w:szCs w:val="22"/>
              </w:rPr>
              <w:t xml:space="preserve">[EDIT: Title — e.g. Medical Director]</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SaaS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2026-05-29T11:12:26.877Z</dcterms:created>
  <dcterms:modified xsi:type="dcterms:W3CDTF">2026-05-29T11:12:26.877Z</dcterms:modified>
</cp:coreProperties>
</file>

<file path=docProps/custom.xml><?xml version="1.0" encoding="utf-8"?>
<Properties xmlns="http://schemas.openxmlformats.org/officeDocument/2006/custom-properties" xmlns:vt="http://schemas.openxmlformats.org/officeDocument/2006/docPropsVTypes"/>
</file>