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0A3D62"/>
          <w:sz w:val="48"/>
          <w:szCs w:val="48"/>
        </w:rPr>
        <w:t xml:space="preserve">MEDIBANK NEXUS LIMITED</w:t>
      </w:r>
    </w:p>
    <w:p>
      <w:pPr>
        <w:spacing w:after="80"/>
        <w:jc w:val="center"/>
      </w:pPr>
      <w:r>
        <w:rPr>
          <w:rFonts w:ascii="Arial" w:cs="Arial" w:eastAsia="Arial" w:hAnsi="Arial"/>
          <w:b/>
          <w:bCs/>
          <w:color w:val="1A73E8"/>
          <w:sz w:val="36"/>
          <w:szCs w:val="36"/>
        </w:rPr>
        <w:t xml:space="preserve">DATA PROCESSING AGREEMENT</w:t>
      </w:r>
    </w:p>
    <w:p>
      <w:pPr>
        <w:spacing w:after="80"/>
        <w:jc w:val="center"/>
      </w:pPr>
      <w:r>
        <w:rPr>
          <w:rFonts w:ascii="Arial" w:cs="Arial" w:eastAsia="Arial" w:hAnsi="Arial"/>
          <w:i/>
          <w:iCs/>
          <w:color w:val="555555"/>
          <w:sz w:val="22"/>
          <w:szCs w:val="22"/>
        </w:rPr>
        <w:t xml:space="preserve">In Compliance with the Nigeria Data Protection Regulation (NDPR) 2019</w:t>
      </w:r>
    </w:p>
    <w:p>
      <w:pPr>
        <w:spacing w:after="480"/>
        <w:jc w:val="center"/>
      </w:pPr>
      <w:r>
        <w:rPr>
          <w:rFonts w:ascii="Arial" w:cs="Arial" w:eastAsia="Arial" w:hAnsi="Arial"/>
          <w:i/>
          <w:iCs/>
          <w:color w:val="555555"/>
          <w:sz w:val="22"/>
          <w:szCs w:val="22"/>
        </w:rPr>
        <w:t xml:space="preserve">Strictly Confidential</w:t>
      </w:r>
    </w:p>
    <w:p>
      <w:pPr>
        <w:pBdr>
          <w:bottom w:val="single" w:color="1A73E8" w:sz="4" w:space="1"/>
        </w:pBdr>
        <w:spacing w:after="240" w:before="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Data Controller (Hospital)</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i/>
                <w:iCs/>
                <w:color w:val="CC0000"/>
                <w:sz w:val="22"/>
                <w:szCs w:val="22"/>
              </w:rPr>
              <w:t xml:space="preserve">[EDIT: Full legal name of hospital / clinic]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Controller Address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CC0000"/>
                <w:sz w:val="22"/>
                <w:szCs w:val="22"/>
              </w:rPr>
              <w:t xml:space="preserve">[EDIT: Hospital address]</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Controller Contact</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i/>
                <w:iCs/>
                <w:color w:val="CC0000"/>
                <w:sz w:val="22"/>
                <w:szCs w:val="22"/>
              </w:rPr>
              <w:t xml:space="preserve">[EDIT: Data Protection Officer or admin contact name and email]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Data Processor (Provider)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MediBank Nexus Limited</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Processor Address</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i/>
                <w:iCs/>
                <w:color w:val="CC0000"/>
                <w:sz w:val="22"/>
                <w:szCs w:val="22"/>
              </w:rPr>
              <w:t xml:space="preserve">[EDIT: Registered business address]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Processor Contact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CC0000"/>
                <w:sz w:val="22"/>
                <w:szCs w:val="22"/>
              </w:rPr>
              <w:t xml:space="preserve">[EDIT: Your email — e.g. privacy@medibanknexus.ng]</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Effective Date</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i/>
                <w:iCs/>
                <w:color w:val="CC0000"/>
                <w:sz w:val="22"/>
                <w:szCs w:val="22"/>
              </w:rPr>
              <w:t xml:space="preserve">[EDIT: Date of signing]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Related SaaS Agreement Date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CC0000"/>
                <w:sz w:val="22"/>
                <w:szCs w:val="22"/>
              </w:rPr>
              <w:t xml:space="preserve">[EDIT: Date of the SaaS Agreement this DPA accompanies]</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Applicable Law</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Nigeria Data Protection Regulation (NDPR) 2019 and NDPR Implementation Framework 2020</w:t>
            </w:r>
          </w:p>
        </w:tc>
      </w:tr>
    </w:tbl>
    <w:p>
      <w:pPr>
        <w:spacing w:after="80"/>
      </w:pPr>
      <w:r>
        <w:t xml:space="preserve"/>
      </w:r>
    </w:p>
    <w:p>
      <w:pPr>
        <w:pBdr>
          <w:bottom w:val="single" w:color="1A73E8" w:sz="4" w:space="1"/>
        </w:pBdr>
        <w:spacing w:after="240" w:before="240"/>
      </w:pPr>
      <w:r>
        <w:t xml:space="preserve"/>
      </w:r>
    </w:p>
    <w:p>
      <w:pPr>
        <w:pStyle w:val="Heading1"/>
        <w:spacing w:after="160" w:before="360"/>
      </w:pPr>
      <w:r>
        <w:rPr>
          <w:rFonts w:ascii="Arial" w:cs="Arial" w:eastAsia="Arial" w:hAnsi="Arial"/>
          <w:b/>
          <w:bCs/>
          <w:color w:val="0A3D62"/>
          <w:sz w:val="28"/>
          <w:szCs w:val="28"/>
        </w:rPr>
        <w:t xml:space="preserve">1. BACKGROUND AND PURPOSE</w:t>
      </w:r>
    </w:p>
    <w:p>
      <w:pPr>
        <w:spacing w:after="160"/>
        <w:jc w:val="both"/>
      </w:pPr>
      <w:r>
        <w:rPr>
          <w:rFonts w:ascii="Arial" w:cs="Arial" w:eastAsia="Arial" w:hAnsi="Arial"/>
          <w:color w:val="000000"/>
          <w:sz w:val="22"/>
          <w:szCs w:val="22"/>
        </w:rPr>
        <w:t xml:space="preserve">This Data Processing Agreement ("DPA") is entered into between the Data Controller (hospital) and the Data Processor (MediBank Nexus Limited) in connection with the SaaS Agreement referenced above. It governs the processing of personal data, including patient health information, by the Processor on behalf of the Controller, in compliance with the Nigeria Data Protection Regulation (NDPR) 2019 and all applicable Nigerian data protection laws.</w:t>
      </w:r>
    </w:p>
    <w:p>
      <w:pPr>
        <w:spacing w:after="160"/>
        <w:jc w:val="both"/>
      </w:pPr>
      <w:r>
        <w:rPr>
          <w:rFonts w:ascii="Arial" w:cs="Arial" w:eastAsia="Arial" w:hAnsi="Arial"/>
          <w:color w:val="000000"/>
          <w:sz w:val="22"/>
          <w:szCs w:val="22"/>
        </w:rPr>
        <w:t xml:space="preserve">This DPA forms part of the SaaS Agreement and is incorporated by reference. In the event of any conflict between this DPA and the SaaS Agreement on matters of data protection, this DPA shall prevail.</w:t>
      </w:r>
    </w:p>
    <w:p>
      <w:pPr>
        <w:pStyle w:val="Heading1"/>
        <w:spacing w:after="160" w:before="360"/>
      </w:pPr>
      <w:r>
        <w:rPr>
          <w:rFonts w:ascii="Arial" w:cs="Arial" w:eastAsia="Arial" w:hAnsi="Arial"/>
          <w:b/>
          <w:bCs/>
          <w:color w:val="0A3D62"/>
          <w:sz w:val="28"/>
          <w:szCs w:val="28"/>
        </w:rPr>
        <w:t xml:space="preserve">2.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"Personal Data"</w:t>
            </w:r>
          </w:p>
        </w:tc>
        <w:tc>
          <w:tcPr>
            <w:tcW w:type="dxa" w:w="64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spacing w:after="0"/>
            </w:pPr>
            <w:r>
              <w:rPr>
                <w:rFonts w:ascii="Arial" w:cs="Arial" w:eastAsia="Arial" w:hAnsi="Arial"/>
                <w:color w:val="000000"/>
                <w:sz w:val="22"/>
                <w:szCs w:val="22"/>
              </w:rPr>
              <w:t xml:space="preserve">Any information relating to an identified or identifiable natural person, including patients, staff, and any other individuals whose data is processed through the platform.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"Health Data"</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22"/>
                <w:szCs w:val="22"/>
              </w:rPr>
              <w:t xml:space="preserve">A subset of Personal Data consisting of information relating to a person's physical or mental health, medical history, diagnoses, treatments, prescriptions, and related clinical information. Health data is treated as sensitive personal data under the NDPR.</w:t>
            </w:r>
          </w:p>
        </w:tc>
      </w:tr>
      <w:tr>
        <w:tc>
          <w:tcPr>
            <w:tcW w:type="dxa" w:w="26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"Processing"</w:t>
            </w:r>
          </w:p>
        </w:tc>
        <w:tc>
          <w:tcPr>
            <w:tcW w:type="dxa" w:w="64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spacing w:after="0"/>
            </w:pPr>
            <w:r>
              <w:rPr>
                <w:rFonts w:ascii="Arial" w:cs="Arial" w:eastAsia="Arial" w:hAnsi="Arial"/>
                <w:color w:val="000000"/>
                <w:sz w:val="22"/>
                <w:szCs w:val="22"/>
              </w:rPr>
              <w:t xml:space="preserve">Any operation performed on Personal Data, including collection, storage, retrieval, use, disclosure, alteration, or deletion.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"Data Subject"</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22"/>
                <w:szCs w:val="22"/>
              </w:rPr>
              <w:t xml:space="preserve">The individual to whom Personal Data relates, including patients, staff members, and emergency contacts.</w:t>
            </w:r>
          </w:p>
        </w:tc>
      </w:tr>
      <w:tr>
        <w:tc>
          <w:tcPr>
            <w:tcW w:type="dxa" w:w="26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"Data Breach"</w:t>
            </w:r>
          </w:p>
        </w:tc>
        <w:tc>
          <w:tcPr>
            <w:tcW w:type="dxa" w:w="64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spacing w:after="0"/>
            </w:pPr>
            <w:r>
              <w:rPr>
                <w:rFonts w:ascii="Arial" w:cs="Arial" w:eastAsia="Arial" w:hAnsi="Arial"/>
                <w:color w:val="000000"/>
                <w:sz w:val="22"/>
                <w:szCs w:val="22"/>
              </w:rPr>
              <w:t xml:space="preserve">Any accidental or unlawful destruction, loss, alteration, unauthorised disclosure of, or access to Personal Data transmitted, stored, or otherwise processed.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"Sub-Processor"</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22"/>
                <w:szCs w:val="22"/>
              </w:rPr>
              <w:t xml:space="preserve">Any third party engaged by the Processor to carry out processing activities on the Controller's Personal Data.</w:t>
            </w:r>
          </w:p>
        </w:tc>
      </w:tr>
      <w:tr>
        <w:tc>
          <w:tcPr>
            <w:tcW w:type="dxa" w:w="26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"NITDA"</w:t>
            </w:r>
          </w:p>
        </w:tc>
        <w:tc>
          <w:tcPr>
            <w:tcW w:type="dxa" w:w="64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spacing w:after="0"/>
            </w:pPr>
            <w:r>
              <w:rPr>
                <w:rFonts w:ascii="Arial" w:cs="Arial" w:eastAsia="Arial" w:hAnsi="Arial"/>
                <w:color w:val="000000"/>
                <w:sz w:val="22"/>
                <w:szCs w:val="22"/>
              </w:rPr>
              <w:t xml:space="preserve">The National Information Technology Development Agency of Nigeria, the regulatory body responsible for enforcing the NDPR.</w:t>
            </w:r>
          </w:p>
        </w:tc>
      </w:tr>
    </w:tbl>
    <w:p>
      <w:pPr>
        <w:spacing w:after="80"/>
      </w:pPr>
      <w:r>
        <w:t xml:space="preserve"/>
      </w:r>
    </w:p>
    <w:p>
      <w:pPr>
        <w:pStyle w:val="Heading1"/>
        <w:spacing w:after="160" w:before="360"/>
      </w:pPr>
      <w:r>
        <w:rPr>
          <w:rFonts w:ascii="Arial" w:cs="Arial" w:eastAsia="Arial" w:hAnsi="Arial"/>
          <w:b/>
          <w:bCs/>
          <w:color w:val="0A3D62"/>
          <w:sz w:val="28"/>
          <w:szCs w:val="28"/>
        </w:rPr>
        <w:t xml:space="preserve">3. SCOPE AND NATURE OF DATA PROCESSING</w:t>
      </w:r>
    </w:p>
    <w:p>
      <w:pPr>
        <w:pStyle w:val="Heading2"/>
        <w:spacing w:after="120" w:before="240"/>
      </w:pPr>
      <w:r>
        <w:rPr>
          <w:rFonts w:ascii="Arial" w:cs="Arial" w:eastAsia="Arial" w:hAnsi="Arial"/>
          <w:b/>
          <w:bCs/>
          <w:color w:val="1A73E8"/>
          <w:sz w:val="24"/>
          <w:szCs w:val="24"/>
        </w:rPr>
        <w:t xml:space="preserve">3.1 Categories of Personal Data Processed</w:t>
      </w:r>
    </w:p>
    <w:p>
      <w:pPr>
        <w:spacing w:after="160"/>
        <w:jc w:val="left"/>
      </w:pPr>
      <w:r>
        <w:rPr>
          <w:rFonts w:ascii="Arial" w:cs="Arial" w:eastAsia="Arial" w:hAnsi="Arial"/>
          <w:color w:val="000000"/>
          <w:sz w:val="22"/>
          <w:szCs w:val="22"/>
        </w:rPr>
        <w:t xml:space="preserve">The Processor shall process the following categories of Personal Data on behalf of the Controller: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c>
          <w:tcPr>
            <w:tcW w:type="dxa" w:w="24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33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2"/>
                <w:szCs w:val="22"/>
              </w:rPr>
              <w:t xml:space="preserve">Data Types</w:t>
            </w:r>
          </w:p>
        </w:tc>
        <w:tc>
          <w:tcPr>
            <w:tcW w:type="dxa" w:w="3326"/>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4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Patient Identity Data</w:t>
            </w:r>
          </w:p>
        </w:tc>
        <w:tc>
          <w:tcPr>
            <w:tcW w:type="dxa" w:w="33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Name, date of birth, gender, NIN, address, phone, email</w:t>
            </w:r>
          </w:p>
        </w:tc>
        <w:tc>
          <w:tcPr>
            <w:tcW w:type="dxa" w:w="33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Patient registration and identification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Patient Health Data (Sensitive)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Blood group, genotype, diagnoses, prescriptions, vitals, allergies, conditions, visit history</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Clinical documentation and care delivery</w:t>
            </w:r>
          </w:p>
        </w:tc>
      </w:tr>
      <w:tr>
        <w:tc>
          <w:tcPr>
            <w:tcW w:type="dxa" w:w="24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Emergency Contact Data</w:t>
            </w:r>
          </w:p>
        </w:tc>
        <w:tc>
          <w:tcPr>
            <w:tcW w:type="dxa" w:w="33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Name, relationship, phone number</w:t>
            </w:r>
          </w:p>
        </w:tc>
        <w:tc>
          <w:tcPr>
            <w:tcW w:type="dxa" w:w="33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Emergency notification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Insurance Data</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Provider name, policy number, plan type</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Billing and insurance processing</w:t>
            </w:r>
          </w:p>
        </w:tc>
      </w:tr>
      <w:tr>
        <w:tc>
          <w:tcPr>
            <w:tcW w:type="dxa" w:w="24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Staff Identity Data</w:t>
            </w:r>
          </w:p>
        </w:tc>
        <w:tc>
          <w:tcPr>
            <w:tcW w:type="dxa" w:w="33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Name, email, role, department, login credentials</w:t>
            </w:r>
          </w:p>
        </w:tc>
        <w:tc>
          <w:tcPr>
            <w:tcW w:type="dxa" w:w="33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Access control and audit trail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Usage and Audit Data</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Login times, actions performed, IP addresses</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Security and compliance auditing</w:t>
            </w:r>
          </w:p>
        </w:tc>
      </w:tr>
    </w:tbl>
    <w:p>
      <w:pPr>
        <w:spacing w:after="80"/>
      </w:pPr>
      <w:r>
        <w:t xml:space="preserve"/>
      </w:r>
    </w:p>
    <w:p>
      <w:pPr>
        <w:pStyle w:val="Heading2"/>
        <w:spacing w:after="120" w:before="240"/>
      </w:pPr>
      <w:r>
        <w:rPr>
          <w:rFonts w:ascii="Arial" w:cs="Arial" w:eastAsia="Arial" w:hAnsi="Arial"/>
          <w:b/>
          <w:bCs/>
          <w:color w:val="1A73E8"/>
          <w:sz w:val="24"/>
          <w:szCs w:val="24"/>
        </w:rPr>
        <w:t xml:space="preserve">3.2 Data Subjects</w:t>
      </w:r>
    </w:p>
    <w:p>
      <w:pPr>
        <w:spacing w:after="160"/>
        <w:jc w:val="left"/>
      </w:pPr>
      <w:r>
        <w:rPr>
          <w:rFonts w:ascii="Arial" w:cs="Arial" w:eastAsia="Arial" w:hAnsi="Arial"/>
          <w:color w:val="000000"/>
          <w:sz w:val="22"/>
          <w:szCs w:val="22"/>
        </w:rPr>
        <w:t xml:space="preserve">The Personal Data processed relates to the following categories of Data Subjects: patients registered at the Controller's facility; staff members and authorised users of the platform; emergency contacts nominated by patients; and any other individuals whose data is entered into the platform by the Controller.</w:t>
      </w:r>
    </w:p>
    <w:p>
      <w:pPr>
        <w:pStyle w:val="Heading2"/>
        <w:spacing w:after="120" w:before="240"/>
      </w:pPr>
      <w:r>
        <w:rPr>
          <w:rFonts w:ascii="Arial" w:cs="Arial" w:eastAsia="Arial" w:hAnsi="Arial"/>
          <w:b/>
          <w:bCs/>
          <w:color w:val="1A73E8"/>
          <w:sz w:val="24"/>
          <w:szCs w:val="24"/>
        </w:rPr>
        <w:t xml:space="preserve">3.3 Nature of Processing</w:t>
      </w:r>
    </w:p>
    <w:p>
      <w:pPr>
        <w:spacing w:after="160"/>
        <w:jc w:val="left"/>
      </w:pPr>
      <w:r>
        <w:rPr>
          <w:rFonts w:ascii="Arial" w:cs="Arial" w:eastAsia="Arial" w:hAnsi="Arial"/>
          <w:color w:val="000000"/>
          <w:sz w:val="22"/>
          <w:szCs w:val="22"/>
        </w:rPr>
        <w:t xml:space="preserve">Processing activities include: collection and storage of personal and health data; retrieval and display of records to authorised users; automated AI-assisted analysis for clinical documentation support; generation of reports and analytics; transmission of appointment reminders and notifications; and audit logging of system access and actions.</w:t>
      </w:r>
    </w:p>
    <w:p>
      <w:pPr>
        <w:pStyle w:val="Heading1"/>
        <w:spacing w:after="160" w:before="360"/>
      </w:pPr>
      <w:r>
        <w:rPr>
          <w:rFonts w:ascii="Arial" w:cs="Arial" w:eastAsia="Arial" w:hAnsi="Arial"/>
          <w:b/>
          <w:bCs/>
          <w:color w:val="0A3D62"/>
          <w:sz w:val="28"/>
          <w:szCs w:val="28"/>
        </w:rPr>
        <w:t xml:space="preserve">4. CONTROLLER'S OBLIGATIONS</w:t>
      </w:r>
    </w:p>
    <w:p>
      <w:pPr>
        <w:spacing w:after="160"/>
        <w:jc w:val="left"/>
      </w:pPr>
      <w:r>
        <w:rPr>
          <w:rFonts w:ascii="Arial" w:cs="Arial" w:eastAsia="Arial" w:hAnsi="Arial"/>
          <w:color w:val="000000"/>
          <w:sz w:val="22"/>
          <w:szCs w:val="22"/>
        </w:rPr>
        <w:t xml:space="preserve">The Controller represents, warrants, and agrees that:</w:t>
      </w:r>
    </w:p>
    <w:p>
      <w:pPr>
        <w:pStyle w:val="ListParagraph"/>
        <w:numPr>
          <w:ilvl w:val="0"/>
          <w:numId w:val="2"/>
        </w:numPr>
        <w:spacing w:after="120"/>
      </w:pPr>
      <w:r>
        <w:rPr>
          <w:rFonts w:ascii="Arial" w:cs="Arial" w:eastAsia="Arial" w:hAnsi="Arial"/>
          <w:color w:val="000000"/>
          <w:sz w:val="22"/>
          <w:szCs w:val="22"/>
        </w:rPr>
        <w:t xml:space="preserve">It has a lawful basis for processing all Personal Data entered into the platform, including obtaining valid patient consent where required under the NDPR.</w:t>
      </w:r>
    </w:p>
    <w:p>
      <w:pPr>
        <w:pStyle w:val="ListParagraph"/>
        <w:numPr>
          <w:ilvl w:val="0"/>
          <w:numId w:val="2"/>
        </w:numPr>
        <w:spacing w:after="120"/>
      </w:pPr>
      <w:r>
        <w:rPr>
          <w:rFonts w:ascii="Arial" w:cs="Arial" w:eastAsia="Arial" w:hAnsi="Arial"/>
          <w:color w:val="000000"/>
          <w:sz w:val="22"/>
          <w:szCs w:val="22"/>
        </w:rPr>
        <w:t xml:space="preserve">It has informed Data Subjects (patients and staff) of the processing of their data through a compliant privacy notice.</w:t>
      </w:r>
    </w:p>
    <w:p>
      <w:pPr>
        <w:pStyle w:val="ListParagraph"/>
        <w:numPr>
          <w:ilvl w:val="0"/>
          <w:numId w:val="2"/>
        </w:numPr>
        <w:spacing w:after="120"/>
      </w:pPr>
      <w:r>
        <w:rPr>
          <w:rFonts w:ascii="Arial" w:cs="Arial" w:eastAsia="Arial" w:hAnsi="Arial"/>
          <w:color w:val="000000"/>
          <w:sz w:val="22"/>
          <w:szCs w:val="22"/>
        </w:rPr>
        <w:t xml:space="preserve">It will only instruct the Processor to process Personal Data in ways that comply with applicable law.</w:t>
      </w:r>
    </w:p>
    <w:p>
      <w:pPr>
        <w:pStyle w:val="ListParagraph"/>
        <w:numPr>
          <w:ilvl w:val="0"/>
          <w:numId w:val="2"/>
        </w:numPr>
        <w:spacing w:after="120"/>
      </w:pPr>
      <w:r>
        <w:rPr>
          <w:rFonts w:ascii="Arial" w:cs="Arial" w:eastAsia="Arial" w:hAnsi="Arial"/>
          <w:color w:val="000000"/>
          <w:sz w:val="22"/>
          <w:szCs w:val="22"/>
        </w:rPr>
        <w:t xml:space="preserve">It is responsible for the accuracy, completeness, and lawfulness of all Personal Data entered into the platform.</w:t>
      </w:r>
    </w:p>
    <w:p>
      <w:pPr>
        <w:pStyle w:val="ListParagraph"/>
        <w:numPr>
          <w:ilvl w:val="0"/>
          <w:numId w:val="2"/>
        </w:numPr>
        <w:spacing w:after="120"/>
      </w:pPr>
      <w:r>
        <w:rPr>
          <w:rFonts w:ascii="Arial" w:cs="Arial" w:eastAsia="Arial" w:hAnsi="Arial"/>
          <w:color w:val="000000"/>
          <w:sz w:val="22"/>
          <w:szCs w:val="22"/>
        </w:rPr>
        <w:t xml:space="preserve">It will promptly notify the Processor if any Data Subject exercises their rights (access, correction, deletion, objection) so that the Processor may assist.</w:t>
      </w:r>
    </w:p>
    <w:p>
      <w:pPr>
        <w:pStyle w:val="ListParagraph"/>
        <w:numPr>
          <w:ilvl w:val="0"/>
          <w:numId w:val="2"/>
        </w:numPr>
        <w:spacing w:after="120"/>
      </w:pPr>
      <w:r>
        <w:rPr>
          <w:rFonts w:ascii="Arial" w:cs="Arial" w:eastAsia="Arial" w:hAnsi="Arial"/>
          <w:color w:val="000000"/>
          <w:sz w:val="22"/>
          <w:szCs w:val="22"/>
        </w:rPr>
        <w:t xml:space="preserve">It has appointed or will appoint a Data Protection Officer or designated data contact where required under the NDPR.</w:t>
      </w:r>
    </w:p>
    <w:p>
      <w:pPr>
        <w:pStyle w:val="Heading1"/>
        <w:spacing w:after="160" w:before="360"/>
      </w:pPr>
      <w:r>
        <w:rPr>
          <w:rFonts w:ascii="Arial" w:cs="Arial" w:eastAsia="Arial" w:hAnsi="Arial"/>
          <w:b/>
          <w:bCs/>
          <w:color w:val="0A3D62"/>
          <w:sz w:val="28"/>
          <w:szCs w:val="28"/>
        </w:rPr>
        <w:t xml:space="preserve">5. PROCESSOR'S OBLIGATIONS</w:t>
      </w:r>
    </w:p>
    <w:p>
      <w:pPr>
        <w:pStyle w:val="Heading2"/>
        <w:spacing w:after="120" w:before="240"/>
      </w:pPr>
      <w:r>
        <w:rPr>
          <w:rFonts w:ascii="Arial" w:cs="Arial" w:eastAsia="Arial" w:hAnsi="Arial"/>
          <w:b/>
          <w:bCs/>
          <w:color w:val="1A73E8"/>
          <w:sz w:val="24"/>
          <w:szCs w:val="24"/>
        </w:rPr>
        <w:t xml:space="preserve">5.1 Documented Instructions</w:t>
      </w:r>
    </w:p>
    <w:p>
      <w:pPr>
        <w:spacing w:after="160"/>
        <w:jc w:val="left"/>
      </w:pPr>
      <w:r>
        <w:rPr>
          <w:rFonts w:ascii="Arial" w:cs="Arial" w:eastAsia="Arial" w:hAnsi="Arial"/>
          <w:color w:val="000000"/>
          <w:sz w:val="22"/>
          <w:szCs w:val="22"/>
        </w:rPr>
        <w:t xml:space="preserve">The Processor shall process Personal Data only on the documented instructions of the Controller, as set out in this DPA and the SaaS Agreement. The Processor shall promptly notify the Controller if any instruction infringes applicable data protection law.</w:t>
      </w:r>
    </w:p>
    <w:p>
      <w:pPr>
        <w:pStyle w:val="Heading2"/>
        <w:spacing w:after="120" w:before="240"/>
      </w:pPr>
      <w:r>
        <w:rPr>
          <w:rFonts w:ascii="Arial" w:cs="Arial" w:eastAsia="Arial" w:hAnsi="Arial"/>
          <w:b/>
          <w:bCs/>
          <w:color w:val="1A73E8"/>
          <w:sz w:val="24"/>
          <w:szCs w:val="24"/>
        </w:rPr>
        <w:t xml:space="preserve">5.2 Confidentiality</w:t>
      </w:r>
    </w:p>
    <w:p>
      <w:pPr>
        <w:spacing w:after="160"/>
        <w:jc w:val="left"/>
      </w:pPr>
      <w:r>
        <w:rPr>
          <w:rFonts w:ascii="Arial" w:cs="Arial" w:eastAsia="Arial" w:hAnsi="Arial"/>
          <w:color w:val="000000"/>
          <w:sz w:val="22"/>
          <w:szCs w:val="22"/>
        </w:rPr>
        <w:t xml:space="preserve">The Processor shall ensure that all personnel authorised to process Personal Data are bound by appropriate confidentiality obligations and have received adequate data protection training.</w:t>
      </w:r>
    </w:p>
    <w:p>
      <w:pPr>
        <w:pStyle w:val="Heading2"/>
        <w:spacing w:after="120" w:before="240"/>
      </w:pPr>
      <w:r>
        <w:rPr>
          <w:rFonts w:ascii="Arial" w:cs="Arial" w:eastAsia="Arial" w:hAnsi="Arial"/>
          <w:b/>
          <w:bCs/>
          <w:color w:val="1A73E8"/>
          <w:sz w:val="24"/>
          <w:szCs w:val="24"/>
        </w:rPr>
        <w:t xml:space="preserve">5.3 Security Measures</w:t>
      </w:r>
    </w:p>
    <w:p>
      <w:pPr>
        <w:spacing w:after="160"/>
        <w:jc w:val="left"/>
      </w:pPr>
      <w:r>
        <w:rPr>
          <w:rFonts w:ascii="Arial" w:cs="Arial" w:eastAsia="Arial" w:hAnsi="Arial"/>
          <w:color w:val="000000"/>
          <w:sz w:val="22"/>
          <w:szCs w:val="22"/>
        </w:rPr>
        <w:t xml:space="preserve">The Processor shall implement and maintain the following technical and organisational security measures:</w:t>
      </w:r>
    </w:p>
    <w:p>
      <w:pPr>
        <w:pStyle w:val="ListParagraph"/>
        <w:numPr>
          <w:ilvl w:val="0"/>
          <w:numId w:val="3"/>
        </w:numPr>
        <w:spacing w:after="100"/>
      </w:pPr>
      <w:r>
        <w:rPr>
          <w:rFonts w:ascii="Arial" w:cs="Arial" w:eastAsia="Arial" w:hAnsi="Arial"/>
          <w:color w:val="000000"/>
          <w:sz w:val="22"/>
          <w:szCs w:val="22"/>
        </w:rPr>
        <w:t xml:space="preserve">AES-256 encryption of all Personal Data stored on the platform's servers.</w:t>
      </w:r>
    </w:p>
    <w:p>
      <w:pPr>
        <w:pStyle w:val="ListParagraph"/>
        <w:numPr>
          <w:ilvl w:val="0"/>
          <w:numId w:val="3"/>
        </w:numPr>
        <w:spacing w:after="100"/>
      </w:pPr>
      <w:r>
        <w:rPr>
          <w:rFonts w:ascii="Arial" w:cs="Arial" w:eastAsia="Arial" w:hAnsi="Arial"/>
          <w:color w:val="000000"/>
          <w:sz w:val="22"/>
          <w:szCs w:val="22"/>
        </w:rPr>
        <w:t xml:space="preserve">TLS 1.3 encryption for all data transmitted between users and the platform.</w:t>
      </w:r>
    </w:p>
    <w:p>
      <w:pPr>
        <w:pStyle w:val="ListParagraph"/>
        <w:numPr>
          <w:ilvl w:val="0"/>
          <w:numId w:val="3"/>
        </w:numPr>
        <w:spacing w:after="100"/>
      </w:pPr>
      <w:r>
        <w:rPr>
          <w:rFonts w:ascii="Arial" w:cs="Arial" w:eastAsia="Arial" w:hAnsi="Arial"/>
          <w:color w:val="000000"/>
          <w:sz w:val="22"/>
          <w:szCs w:val="22"/>
        </w:rPr>
        <w:t xml:space="preserve">Role-based access controls ensuring staff can only access data relevant to their role.</w:t>
      </w:r>
    </w:p>
    <w:p>
      <w:pPr>
        <w:pStyle w:val="ListParagraph"/>
        <w:numPr>
          <w:ilvl w:val="0"/>
          <w:numId w:val="3"/>
        </w:numPr>
        <w:spacing w:after="100"/>
      </w:pPr>
      <w:r>
        <w:rPr>
          <w:rFonts w:ascii="Arial" w:cs="Arial" w:eastAsia="Arial" w:hAnsi="Arial"/>
          <w:color w:val="000000"/>
          <w:sz w:val="22"/>
          <w:szCs w:val="22"/>
        </w:rPr>
        <w:t xml:space="preserve">Multi-tenant data isolation ensuring each hospital's data is completely separated from other hospitals' data.</w:t>
      </w:r>
    </w:p>
    <w:p>
      <w:pPr>
        <w:pStyle w:val="ListParagraph"/>
        <w:numPr>
          <w:ilvl w:val="0"/>
          <w:numId w:val="3"/>
        </w:numPr>
        <w:spacing w:after="100"/>
      </w:pPr>
      <w:r>
        <w:rPr>
          <w:rFonts w:ascii="Arial" w:cs="Arial" w:eastAsia="Arial" w:hAnsi="Arial"/>
          <w:color w:val="000000"/>
          <w:sz w:val="22"/>
          <w:szCs w:val="22"/>
        </w:rPr>
        <w:t xml:space="preserve">Automated nightly backups with thirty (30) day retention and tested restoration procedures.</w:t>
      </w:r>
    </w:p>
    <w:p>
      <w:pPr>
        <w:pStyle w:val="ListParagraph"/>
        <w:numPr>
          <w:ilvl w:val="0"/>
          <w:numId w:val="3"/>
        </w:numPr>
        <w:spacing w:after="100"/>
      </w:pPr>
      <w:r>
        <w:rPr>
          <w:rFonts w:ascii="Arial" w:cs="Arial" w:eastAsia="Arial" w:hAnsi="Arial"/>
          <w:color w:val="000000"/>
          <w:sz w:val="22"/>
          <w:szCs w:val="22"/>
        </w:rPr>
        <w:t xml:space="preserve">Intrusion detection systems and regular vulnerability scanning.</w:t>
      </w:r>
    </w:p>
    <w:p>
      <w:pPr>
        <w:pStyle w:val="ListParagraph"/>
        <w:numPr>
          <w:ilvl w:val="0"/>
          <w:numId w:val="3"/>
        </w:numPr>
        <w:spacing w:after="100"/>
      </w:pPr>
      <w:r>
        <w:rPr>
          <w:rFonts w:ascii="Arial" w:cs="Arial" w:eastAsia="Arial" w:hAnsi="Arial"/>
          <w:color w:val="000000"/>
          <w:sz w:val="22"/>
          <w:szCs w:val="22"/>
        </w:rPr>
        <w:t xml:space="preserve">Access logs and audit trails for all data access and modification events.</w:t>
      </w:r>
    </w:p>
    <w:p>
      <w:pPr>
        <w:pStyle w:val="ListParagraph"/>
        <w:numPr>
          <w:ilvl w:val="0"/>
          <w:numId w:val="3"/>
        </w:numPr>
        <w:spacing w:after="100"/>
      </w:pPr>
      <w:r>
        <w:rPr>
          <w:rFonts w:ascii="Arial" w:cs="Arial" w:eastAsia="Arial" w:hAnsi="Arial"/>
          <w:color w:val="000000"/>
          <w:sz w:val="22"/>
          <w:szCs w:val="22"/>
        </w:rPr>
        <w:t xml:space="preserve">Formal incident response plan reviewed annually.</w:t>
      </w:r>
    </w:p>
    <w:p>
      <w:pPr>
        <w:spacing w:after="80"/>
      </w:pPr>
      <w:r>
        <w:t xml:space="preserve"/>
      </w:r>
    </w:p>
    <w:p>
      <w:pPr>
        <w:pStyle w:val="Heading2"/>
        <w:spacing w:after="120" w:before="240"/>
      </w:pPr>
      <w:r>
        <w:rPr>
          <w:rFonts w:ascii="Arial" w:cs="Arial" w:eastAsia="Arial" w:hAnsi="Arial"/>
          <w:b/>
          <w:bCs/>
          <w:color w:val="1A73E8"/>
          <w:sz w:val="24"/>
          <w:szCs w:val="24"/>
        </w:rPr>
        <w:t xml:space="preserve">5.4 Sub-Processors</w:t>
      </w:r>
    </w:p>
    <w:p>
      <w:pPr>
        <w:spacing w:after="160"/>
        <w:jc w:val="left"/>
      </w:pPr>
      <w:r>
        <w:rPr>
          <w:rFonts w:ascii="Arial" w:cs="Arial" w:eastAsia="Arial" w:hAnsi="Arial"/>
          <w:color w:val="000000"/>
          <w:sz w:val="22"/>
          <w:szCs w:val="22"/>
        </w:rPr>
        <w:t xml:space="preserve">The Controller hereby grants general authorisation for the Processor to engage sub-processors for the delivery of the Service. The Processor currently uses the following sub-processors: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W w:type="dxa" w:w="22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2"/>
                <w:szCs w:val="22"/>
              </w:rPr>
              <w:t xml:space="preserve">Sub-Processor</w:t>
            </w:r>
          </w:p>
        </w:tc>
        <w:tc>
          <w:tcPr>
            <w:tcW w:type="dxa" w:w="30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3826"/>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2"/>
                <w:szCs w:val="22"/>
              </w:rPr>
              <w:t xml:space="preserve">Location</w:t>
            </w:r>
          </w:p>
        </w:tc>
      </w:tr>
      <w:tr>
        <w:tc>
          <w:tcPr>
            <w:tcW w:type="dxa" w:w="2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i/>
                <w:iCs/>
                <w:color w:val="CC0000"/>
                <w:sz w:val="22"/>
                <w:szCs w:val="22"/>
              </w:rPr>
              <w:t xml:space="preserve">[EDIT: e.g. Railway / Render / Vercel]</w:t>
            </w:r>
          </w:p>
        </w:tc>
        <w:tc>
          <w:tcPr>
            <w:tcW w:type="dxa" w:w="30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Cloud hosting and infrastructure</w:t>
            </w:r>
          </w:p>
        </w:tc>
        <w:tc>
          <w:tcPr>
            <w:tcW w:type="dxa" w:w="38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i/>
                <w:iCs/>
                <w:color w:val="CC0000"/>
                <w:sz w:val="22"/>
                <w:szCs w:val="22"/>
              </w:rPr>
              <w:t xml:space="preserve">[EDIT: e.g. United States / EU]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CC0000"/>
                <w:sz w:val="22"/>
                <w:szCs w:val="22"/>
              </w:rPr>
              <w:t xml:space="preserve">[EDIT: e.g. Anthropic]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AI-powered clinical assistance features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United States</w:t>
            </w:r>
          </w:p>
        </w:tc>
      </w:tr>
      <w:tr>
        <w:tc>
          <w:tcPr>
            <w:tcW w:type="dxa" w:w="2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i/>
                <w:iCs/>
                <w:color w:val="CC0000"/>
                <w:sz w:val="22"/>
                <w:szCs w:val="22"/>
              </w:rPr>
              <w:t xml:space="preserve">[EDIT: e.g. Paystack / Flutterwave]</w:t>
            </w:r>
          </w:p>
        </w:tc>
        <w:tc>
          <w:tcPr>
            <w:tcW w:type="dxa" w:w="30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Payment processing</w:t>
            </w:r>
          </w:p>
        </w:tc>
        <w:tc>
          <w:tcPr>
            <w:tcW w:type="dxa" w:w="38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Nigeria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CC0000"/>
                <w:sz w:val="22"/>
                <w:szCs w:val="22"/>
              </w:rPr>
              <w:t xml:space="preserve">[EDIT: e.g. Twilio / Termii]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SMS notification delivery</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CC0000"/>
                <w:sz w:val="22"/>
                <w:szCs w:val="22"/>
              </w:rPr>
              <w:t xml:space="preserve">[EDIT: Location]</w:t>
            </w:r>
          </w:p>
        </w:tc>
      </w:tr>
    </w:tbl>
    <w:p>
      <w:pPr>
        <w:spacing w:after="80"/>
      </w:pPr>
      <w:r>
        <w:t xml:space="preserve"/>
      </w:r>
    </w:p>
    <w:p>
      <w:pPr>
        <w:spacing w:after="160"/>
        <w:jc w:val="left"/>
      </w:pPr>
      <w:r>
        <w:rPr>
          <w:rFonts w:ascii="Arial" w:cs="Arial" w:eastAsia="Arial" w:hAnsi="Arial"/>
          <w:color w:val="000000"/>
          <w:sz w:val="22"/>
          <w:szCs w:val="22"/>
        </w:rPr>
        <w:t xml:space="preserve">The Processor shall notify the Controller of any intended changes to sub-processors at least fourteen (14) days in advance, giving the Controller the opportunity to object. The Processor shall impose equivalent data protection obligations on all sub-processors.</w:t>
      </w:r>
    </w:p>
    <w:p>
      <w:pPr>
        <w:pStyle w:val="Heading1"/>
        <w:spacing w:after="160" w:before="360"/>
      </w:pPr>
      <w:r>
        <w:rPr>
          <w:rFonts w:ascii="Arial" w:cs="Arial" w:eastAsia="Arial" w:hAnsi="Arial"/>
          <w:b/>
          <w:bCs/>
          <w:color w:val="0A3D62"/>
          <w:sz w:val="28"/>
          <w:szCs w:val="28"/>
        </w:rPr>
        <w:t xml:space="preserve">6. DATA SUBJECT RIGHTS</w:t>
      </w:r>
    </w:p>
    <w:p>
      <w:pPr>
        <w:spacing w:after="160"/>
        <w:jc w:val="left"/>
      </w:pPr>
      <w:r>
        <w:rPr>
          <w:rFonts w:ascii="Arial" w:cs="Arial" w:eastAsia="Arial" w:hAnsi="Arial"/>
          <w:color w:val="000000"/>
          <w:sz w:val="22"/>
          <w:szCs w:val="22"/>
        </w:rPr>
        <w:t xml:space="preserve">The Processor shall assist the Controller in responding to Data Subject rights requests under the NDPR, including:</w:t>
      </w:r>
    </w:p>
    <w:p>
      <w:pPr>
        <w:pStyle w:val="ListParagraph"/>
        <w:numPr>
          <w:ilvl w:val="0"/>
          <w:numId w:val="3"/>
        </w:numPr>
        <w:spacing w:after="100"/>
      </w:pPr>
      <w:r>
        <w:rPr>
          <w:rFonts w:ascii="Arial" w:cs="Arial" w:eastAsia="Arial" w:hAnsi="Arial"/>
          <w:color w:val="000000"/>
          <w:sz w:val="22"/>
          <w:szCs w:val="22"/>
        </w:rPr>
        <w:t xml:space="preserve">Right of access: providing the Controller with a copy of the relevant personal data within five (5) business days of request.</w:t>
      </w:r>
    </w:p>
    <w:p>
      <w:pPr>
        <w:pStyle w:val="ListParagraph"/>
        <w:numPr>
          <w:ilvl w:val="0"/>
          <w:numId w:val="3"/>
        </w:numPr>
        <w:spacing w:after="100"/>
      </w:pPr>
      <w:r>
        <w:rPr>
          <w:rFonts w:ascii="Arial" w:cs="Arial" w:eastAsia="Arial" w:hAnsi="Arial"/>
          <w:color w:val="000000"/>
          <w:sz w:val="22"/>
          <w:szCs w:val="22"/>
        </w:rPr>
        <w:t xml:space="preserve">Right to rectification: correcting inaccurate personal data as directed by the Controller.</w:t>
      </w:r>
    </w:p>
    <w:p>
      <w:pPr>
        <w:pStyle w:val="ListParagraph"/>
        <w:numPr>
          <w:ilvl w:val="0"/>
          <w:numId w:val="3"/>
        </w:numPr>
        <w:spacing w:after="100"/>
      </w:pPr>
      <w:r>
        <w:rPr>
          <w:rFonts w:ascii="Arial" w:cs="Arial" w:eastAsia="Arial" w:hAnsi="Arial"/>
          <w:color w:val="000000"/>
          <w:sz w:val="22"/>
          <w:szCs w:val="22"/>
        </w:rPr>
        <w:t xml:space="preserve">Right to erasure: deleting personal data as directed by the Controller, subject to legal retention obligations.</w:t>
      </w:r>
    </w:p>
    <w:p>
      <w:pPr>
        <w:pStyle w:val="ListParagraph"/>
        <w:numPr>
          <w:ilvl w:val="0"/>
          <w:numId w:val="3"/>
        </w:numPr>
        <w:spacing w:after="100"/>
      </w:pPr>
      <w:r>
        <w:rPr>
          <w:rFonts w:ascii="Arial" w:cs="Arial" w:eastAsia="Arial" w:hAnsi="Arial"/>
          <w:color w:val="000000"/>
          <w:sz w:val="22"/>
          <w:szCs w:val="22"/>
        </w:rPr>
        <w:t xml:space="preserve">Right to data portability: exporting personal data in a machine-readable format (CSV or JSON).</w:t>
      </w:r>
    </w:p>
    <w:p>
      <w:pPr>
        <w:pStyle w:val="ListParagraph"/>
        <w:numPr>
          <w:ilvl w:val="0"/>
          <w:numId w:val="3"/>
        </w:numPr>
        <w:spacing w:after="100"/>
      </w:pPr>
      <w:r>
        <w:rPr>
          <w:rFonts w:ascii="Arial" w:cs="Arial" w:eastAsia="Arial" w:hAnsi="Arial"/>
          <w:color w:val="000000"/>
          <w:sz w:val="22"/>
          <w:szCs w:val="22"/>
        </w:rPr>
        <w:t xml:space="preserve">Right to object: restricting processing as directed by the Controller pending resolution of an objection.</w:t>
      </w:r>
    </w:p>
    <w:p>
      <w:pPr>
        <w:pStyle w:val="Heading1"/>
        <w:spacing w:after="160" w:before="360"/>
      </w:pPr>
      <w:r>
        <w:rPr>
          <w:rFonts w:ascii="Arial" w:cs="Arial" w:eastAsia="Arial" w:hAnsi="Arial"/>
          <w:b/>
          <w:bCs/>
          <w:color w:val="0A3D62"/>
          <w:sz w:val="28"/>
          <w:szCs w:val="28"/>
        </w:rPr>
        <w:t xml:space="preserve">7. DATA BREACH NOTIFICATION</w:t>
      </w:r>
    </w:p>
    <w:p>
      <w:pPr>
        <w:pStyle w:val="Heading2"/>
        <w:spacing w:after="120" w:before="240"/>
      </w:pPr>
      <w:r>
        <w:rPr>
          <w:rFonts w:ascii="Arial" w:cs="Arial" w:eastAsia="Arial" w:hAnsi="Arial"/>
          <w:b/>
          <w:bCs/>
          <w:color w:val="1A73E8"/>
          <w:sz w:val="24"/>
          <w:szCs w:val="24"/>
        </w:rPr>
        <w:t xml:space="preserve">7.1 Notification to Controller</w:t>
      </w:r>
    </w:p>
    <w:p>
      <w:pPr>
        <w:spacing w:after="160"/>
        <w:jc w:val="left"/>
      </w:pPr>
      <w:r>
        <w:rPr>
          <w:rFonts w:ascii="Arial" w:cs="Arial" w:eastAsia="Arial" w:hAnsi="Arial"/>
          <w:color w:val="000000"/>
          <w:sz w:val="22"/>
          <w:szCs w:val="22"/>
        </w:rPr>
        <w:t xml:space="preserve">In the event of a confirmed or suspected Data Breach affecting Personal Data processed under this Agreement, the Processor shall notify the Controller without undue delay and in any event within seventy-two (72) hours of becoming aware of the breach.</w:t>
      </w:r>
    </w:p>
    <w:p>
      <w:pPr>
        <w:pStyle w:val="Heading2"/>
        <w:spacing w:after="120" w:before="240"/>
      </w:pPr>
      <w:r>
        <w:rPr>
          <w:rFonts w:ascii="Arial" w:cs="Arial" w:eastAsia="Arial" w:hAnsi="Arial"/>
          <w:b/>
          <w:bCs/>
          <w:color w:val="1A73E8"/>
          <w:sz w:val="24"/>
          <w:szCs w:val="24"/>
        </w:rPr>
        <w:t xml:space="preserve">7.2 Content of Notification</w:t>
      </w:r>
    </w:p>
    <w:p>
      <w:pPr>
        <w:spacing w:after="160"/>
        <w:jc w:val="left"/>
      </w:pPr>
      <w:r>
        <w:rPr>
          <w:rFonts w:ascii="Arial" w:cs="Arial" w:eastAsia="Arial" w:hAnsi="Arial"/>
          <w:color w:val="000000"/>
          <w:sz w:val="22"/>
          <w:szCs w:val="22"/>
        </w:rPr>
        <w:t xml:space="preserve">The breach notification shall include, to the extent available: a description of the nature of the breach; the categories and approximate number of Data Subjects affected; the categories and approximate number of records affected; the likely consequences of the breach; and the measures taken or proposed to address the breach.</w:t>
      </w:r>
    </w:p>
    <w:p>
      <w:pPr>
        <w:pStyle w:val="Heading2"/>
        <w:spacing w:after="120" w:before="240"/>
      </w:pPr>
      <w:r>
        <w:rPr>
          <w:rFonts w:ascii="Arial" w:cs="Arial" w:eastAsia="Arial" w:hAnsi="Arial"/>
          <w:b/>
          <w:bCs/>
          <w:color w:val="1A73E8"/>
          <w:sz w:val="24"/>
          <w:szCs w:val="24"/>
        </w:rPr>
        <w:t xml:space="preserve">7.3 Notification to NITDA</w:t>
      </w:r>
    </w:p>
    <w:p>
      <w:pPr>
        <w:spacing w:after="160"/>
        <w:jc w:val="left"/>
      </w:pPr>
      <w:r>
        <w:rPr>
          <w:rFonts w:ascii="Arial" w:cs="Arial" w:eastAsia="Arial" w:hAnsi="Arial"/>
          <w:color w:val="000000"/>
          <w:sz w:val="22"/>
          <w:szCs w:val="22"/>
        </w:rPr>
        <w:t xml:space="preserve">Where required by the NDPR, the Controller (as Data Controller) is responsible for notifying NITDA of the breach. The Processor shall provide all reasonable assistance to the Controller in making such notification.</w:t>
      </w:r>
    </w:p>
    <w:p>
      <w:pPr>
        <w:pStyle w:val="Heading1"/>
        <w:spacing w:after="160" w:before="360"/>
      </w:pPr>
      <w:r>
        <w:rPr>
          <w:rFonts w:ascii="Arial" w:cs="Arial" w:eastAsia="Arial" w:hAnsi="Arial"/>
          <w:b/>
          <w:bCs/>
          <w:color w:val="0A3D62"/>
          <w:sz w:val="28"/>
          <w:szCs w:val="28"/>
        </w:rPr>
        <w:t xml:space="preserve">8. DATA RETENTION AND DELETION</w:t>
      </w:r>
    </w:p>
    <w:p>
      <w:pPr>
        <w:pStyle w:val="Heading2"/>
        <w:spacing w:after="120" w:before="240"/>
      </w:pPr>
      <w:r>
        <w:rPr>
          <w:rFonts w:ascii="Arial" w:cs="Arial" w:eastAsia="Arial" w:hAnsi="Arial"/>
          <w:b/>
          <w:bCs/>
          <w:color w:val="1A73E8"/>
          <w:sz w:val="24"/>
          <w:szCs w:val="24"/>
        </w:rPr>
        <w:t xml:space="preserve">8.1 Retention Period</w:t>
      </w:r>
    </w:p>
    <w:p>
      <w:pPr>
        <w:spacing w:after="160"/>
        <w:jc w:val="left"/>
      </w:pPr>
      <w:r>
        <w:rPr>
          <w:rFonts w:ascii="Arial" w:cs="Arial" w:eastAsia="Arial" w:hAnsi="Arial"/>
          <w:color w:val="000000"/>
          <w:sz w:val="22"/>
          <w:szCs w:val="22"/>
        </w:rPr>
        <w:t xml:space="preserve">The Processor shall retain Personal Data for as long as the SaaS Agreement remains in force, plus a maximum of thirty (30) days following termination (to allow data export by the Controller).</w:t>
      </w:r>
    </w:p>
    <w:p>
      <w:pPr>
        <w:pStyle w:val="Heading2"/>
        <w:spacing w:after="120" w:before="240"/>
      </w:pPr>
      <w:r>
        <w:rPr>
          <w:rFonts w:ascii="Arial" w:cs="Arial" w:eastAsia="Arial" w:hAnsi="Arial"/>
          <w:b/>
          <w:bCs/>
          <w:color w:val="1A73E8"/>
          <w:sz w:val="24"/>
          <w:szCs w:val="24"/>
        </w:rPr>
        <w:t xml:space="preserve">8.2 Deletion</w:t>
      </w:r>
    </w:p>
    <w:p>
      <w:pPr>
        <w:spacing w:after="160"/>
        <w:jc w:val="left"/>
      </w:pPr>
      <w:r>
        <w:rPr>
          <w:rFonts w:ascii="Arial" w:cs="Arial" w:eastAsia="Arial" w:hAnsi="Arial"/>
          <w:color w:val="000000"/>
          <w:sz w:val="22"/>
          <w:szCs w:val="22"/>
        </w:rPr>
        <w:t xml:space="preserve">Following the retention period, the Processor shall securely delete or anonymise all Personal Data, unless applicable Nigerian law requires longer retention. The Processor shall certify deletion in writing upon request.</w:t>
      </w:r>
    </w:p>
    <w:p>
      <w:pPr>
        <w:pStyle w:val="Heading2"/>
        <w:spacing w:after="120" w:before="240"/>
      </w:pPr>
      <w:r>
        <w:rPr>
          <w:rFonts w:ascii="Arial" w:cs="Arial" w:eastAsia="Arial" w:hAnsi="Arial"/>
          <w:b/>
          <w:bCs/>
          <w:color w:val="1A73E8"/>
          <w:sz w:val="24"/>
          <w:szCs w:val="24"/>
        </w:rPr>
        <w:t xml:space="preserve">8.3 Legal Hold</w:t>
      </w:r>
    </w:p>
    <w:p>
      <w:pPr>
        <w:spacing w:after="160"/>
        <w:jc w:val="left"/>
      </w:pPr>
      <w:r>
        <w:rPr>
          <w:rFonts w:ascii="Arial" w:cs="Arial" w:eastAsia="Arial" w:hAnsi="Arial"/>
          <w:color w:val="000000"/>
          <w:sz w:val="22"/>
          <w:szCs w:val="22"/>
        </w:rPr>
        <w:t xml:space="preserve">If the Processor is required by law to retain Personal Data beyond the standard retention period, it shall notify the Controller and shall isolate and protect such data from any further processing.</w:t>
      </w:r>
    </w:p>
    <w:p>
      <w:pPr>
        <w:pStyle w:val="Heading1"/>
        <w:spacing w:after="160" w:before="360"/>
      </w:pPr>
      <w:r>
        <w:rPr>
          <w:rFonts w:ascii="Arial" w:cs="Arial" w:eastAsia="Arial" w:hAnsi="Arial"/>
          <w:b/>
          <w:bCs/>
          <w:color w:val="0A3D62"/>
          <w:sz w:val="28"/>
          <w:szCs w:val="28"/>
        </w:rPr>
        <w:t xml:space="preserve">9. AUDITS AND COMPLIANCE</w:t>
      </w:r>
    </w:p>
    <w:p>
      <w:pPr>
        <w:spacing w:after="160"/>
        <w:jc w:val="left"/>
      </w:pPr>
      <w:r>
        <w:rPr>
          <w:rFonts w:ascii="Arial" w:cs="Arial" w:eastAsia="Arial" w:hAnsi="Arial"/>
          <w:color w:val="000000"/>
          <w:sz w:val="22"/>
          <w:szCs w:val="22"/>
        </w:rPr>
        <w:t xml:space="preserve">The Controller shall have the right, upon thirty (30) days' written notice and no more than once per calendar year, to audit the Processor's data processing activities and security measures. Such audits shall be conducted during business hours, at the Controller's expense, and shall not unreasonably disrupt the Processor's operations. The Processor shall cooperate fully with such audits and shall provide all reasonably requested documentation.</w:t>
      </w:r>
    </w:p>
    <w:p>
      <w:pPr>
        <w:pStyle w:val="Heading1"/>
        <w:spacing w:after="160" w:before="360"/>
      </w:pPr>
      <w:r>
        <w:rPr>
          <w:rFonts w:ascii="Arial" w:cs="Arial" w:eastAsia="Arial" w:hAnsi="Arial"/>
          <w:b/>
          <w:bCs/>
          <w:color w:val="0A3D62"/>
          <w:sz w:val="28"/>
          <w:szCs w:val="28"/>
        </w:rPr>
        <w:t xml:space="preserve">10. CROSS-BORDER DATA TRANSFERS</w:t>
      </w:r>
    </w:p>
    <w:p>
      <w:pPr>
        <w:spacing w:after="160"/>
        <w:jc w:val="left"/>
      </w:pPr>
      <w:r>
        <w:rPr>
          <w:rFonts w:ascii="Arial" w:cs="Arial" w:eastAsia="Arial" w:hAnsi="Arial"/>
          <w:color w:val="000000"/>
          <w:sz w:val="22"/>
          <w:szCs w:val="22"/>
        </w:rPr>
        <w:t xml:space="preserve">Personal Data processed under this Agreement may be transferred to countries outside Nigeria where sub-processors are located (as listed in Section 5.4). The Processor warrants that all such transfers are made in compliance with the NDPR requirements for cross-border data transfers, including ensuring that adequate protections are in place in the receiving country.</w:t>
      </w:r>
    </w:p>
    <w:p>
      <w:pPr>
        <w:pStyle w:val="Heading1"/>
        <w:spacing w:after="160" w:before="360"/>
      </w:pPr>
      <w:r>
        <w:rPr>
          <w:rFonts w:ascii="Arial" w:cs="Arial" w:eastAsia="Arial" w:hAnsi="Arial"/>
          <w:b/>
          <w:bCs/>
          <w:color w:val="0A3D62"/>
          <w:sz w:val="28"/>
          <w:szCs w:val="28"/>
        </w:rPr>
        <w:t xml:space="preserve">11. TERM AND TERMINATION</w:t>
      </w:r>
    </w:p>
    <w:p>
      <w:pPr>
        <w:spacing w:after="160"/>
        <w:jc w:val="left"/>
      </w:pPr>
      <w:r>
        <w:rPr>
          <w:rFonts w:ascii="Arial" w:cs="Arial" w:eastAsia="Arial" w:hAnsi="Arial"/>
          <w:color w:val="000000"/>
          <w:sz w:val="22"/>
          <w:szCs w:val="22"/>
        </w:rPr>
        <w:t xml:space="preserve">This DPA shall remain in force for as long as the SaaS Agreement is in effect. Upon termination of the SaaS Agreement for any reason, this DPA shall also terminate, subject to the survival of data deletion obligations in Section 8.</w:t>
      </w:r>
    </w:p>
    <w:p>
      <w:pPr>
        <w:pStyle w:val="Heading1"/>
        <w:spacing w:after="160" w:before="360"/>
      </w:pPr>
      <w:r>
        <w:rPr>
          <w:rFonts w:ascii="Arial" w:cs="Arial" w:eastAsia="Arial" w:hAnsi="Arial"/>
          <w:b/>
          <w:bCs/>
          <w:color w:val="0A3D62"/>
          <w:sz w:val="28"/>
          <w:szCs w:val="28"/>
        </w:rPr>
        <w:t xml:space="preserve">12. GOVERNING LAW</w:t>
      </w:r>
    </w:p>
    <w:p>
      <w:pPr>
        <w:spacing w:after="160"/>
        <w:jc w:val="left"/>
      </w:pPr>
      <w:r>
        <w:rPr>
          <w:rFonts w:ascii="Arial" w:cs="Arial" w:eastAsia="Arial" w:hAnsi="Arial"/>
          <w:color w:val="000000"/>
          <w:sz w:val="22"/>
          <w:szCs w:val="22"/>
        </w:rPr>
        <w:t xml:space="preserve">This DPA is governed by the laws of the Federal Republic of Nigeria, including the NDPR 2019 and the NDPR Implementation Framework 2020. Any dispute shall be resolved in accordance with the dispute resolution provisions of the SaaS Agreement.</w:t>
      </w:r>
    </w:p>
    <w:p>
      <w:pPr>
        <w:pBdr>
          <w:bottom w:val="single" w:color="1A73E8" w:sz="4" w:space="1"/>
        </w:pBdr>
        <w:spacing w:after="240" w:before="240"/>
      </w:pPr>
      <w:r>
        <w:t xml:space="preserve"/>
      </w:r>
    </w:p>
    <w:p>
      <w:pPr>
        <w:pStyle w:val="Heading1"/>
        <w:spacing w:after="160" w:before="360"/>
      </w:pPr>
      <w:r>
        <w:rPr>
          <w:rFonts w:ascii="Arial" w:cs="Arial" w:eastAsia="Arial" w:hAnsi="Arial"/>
          <w:b/>
          <w:bCs/>
          <w:color w:val="0A3D62"/>
          <w:sz w:val="28"/>
          <w:szCs w:val="28"/>
        </w:rPr>
        <w:t xml:space="preserve">EXECUTION</w:t>
      </w:r>
    </w:p>
    <w:p>
      <w:pPr>
        <w:spacing w:after="160"/>
        <w:jc w:val="left"/>
      </w:pPr>
      <w:r>
        <w:rPr>
          <w:rFonts w:ascii="Arial" w:cs="Arial" w:eastAsia="Arial" w:hAnsi="Arial"/>
          <w:color w:val="000000"/>
          <w:sz w:val="22"/>
          <w:szCs w:val="22"/>
        </w:rPr>
        <w:t xml:space="preserve">IN WITNESS WHEREOF, the authorised representatives of both Parties have executed this Data Processing Agreement as of the Effective Date.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00"/>
        <w:gridCol w:w="4313"/>
      </w:tblGrid>
      <w:tr>
        <w:tc>
          <w:tcPr>
            <w:tcW w:type="dxa" w:w="4313"/>
            <w:tcBorders>
              <w:top w:val="none" w:color="FFFFFF" w:sz="0"/>
              <w:left w:val="none" w:color="FFFFFF" w:sz="0"/>
              <w:bottom w:val="none" w:color="FFFFFF" w:sz="0"/>
              <w:right w:val="none" w:color="FFFFFF" w:sz="0"/>
            </w:tcBorders>
          </w:tcPr>
          <w:p>
            <w:pPr>
              <w:spacing w:after="60" w:before="40"/>
            </w:pPr>
            <w:r>
              <w:rPr>
                <w:rFonts w:ascii="Arial" w:cs="Arial" w:eastAsia="Arial" w:hAnsi="Arial"/>
                <w:b/>
                <w:bCs/>
                <w:color w:val="000000"/>
                <w:sz w:val="22"/>
                <w:szCs w:val="22"/>
              </w:rPr>
              <w:t xml:space="preserve">DATA CONTROLLER (HOSPITAL)</w:t>
            </w:r>
          </w:p>
          <w:p>
            <w:pPr>
              <w:spacing w:after="480"/>
            </w:pPr>
            <w:r>
              <w:rPr>
                <w:rFonts w:ascii="Arial" w:cs="Arial" w:eastAsia="Arial" w:hAnsi="Arial"/>
                <w:i/>
                <w:iCs/>
                <w:color w:val="CC0000"/>
                <w:sz w:val="22"/>
                <w:szCs w:val="22"/>
              </w:rPr>
              <w:t xml:space="preserve">[EDIT: Hospital Name]</w:t>
            </w:r>
          </w:p>
          <w:p>
            <w:r>
              <w:rPr>
                <w:rFonts w:ascii="Arial" w:cs="Arial" w:eastAsia="Arial" w:hAnsi="Arial"/>
                <w:sz w:val="22"/>
                <w:szCs w:val="22"/>
              </w:rPr>
              <w:t xml:space="preserve">____________________________________________</w:t>
            </w:r>
          </w:p>
          <w:p>
            <w:pPr>
              <w:spacing w:after="60"/>
            </w:pPr>
            <w:r>
              <w:rPr>
                <w:rFonts w:ascii="Arial" w:cs="Arial" w:eastAsia="Arial" w:hAnsi="Arial"/>
                <w:i/>
                <w:iCs/>
                <w:color w:val="CC0000"/>
                <w:sz w:val="22"/>
                <w:szCs w:val="22"/>
              </w:rPr>
              <w:t xml:space="preserve">[EDIT: Authorised Signatory Name]</w:t>
            </w:r>
          </w:p>
          <w:p>
            <w:pPr>
              <w:spacing w:after="60"/>
            </w:pPr>
            <w:r>
              <w:rPr>
                <w:rFonts w:ascii="Arial" w:cs="Arial" w:eastAsia="Arial" w:hAnsi="Arial"/>
                <w:i/>
                <w:iCs/>
                <w:color w:val="CC0000"/>
                <w:sz w:val="22"/>
                <w:szCs w:val="22"/>
              </w:rPr>
              <w:t xml:space="preserve">[EDIT: Title — e.g. Medical Director / DPO]</w:t>
            </w:r>
          </w:p>
          <w:p>
            <w:r>
              <w:rPr>
                <w:rFonts w:ascii="Arial" w:cs="Arial" w:eastAsia="Arial" w:hAnsi="Arial"/>
                <w:color w:val="000000"/>
                <w:sz w:val="22"/>
                <w:szCs w:val="22"/>
              </w:rPr>
              <w:t xml:space="preserve">Date: ___________________________</w:t>
            </w:r>
          </w:p>
        </w:tc>
        <w:tc>
          <w:tcPr>
            <w:tcW w:type="dxa" w:w="400"/>
            <w:tcBorders>
              <w:top w:val="none" w:color="FFFFFF" w:sz="0"/>
              <w:left w:val="none" w:color="FFFFFF" w:sz="0"/>
              <w:bottom w:val="none" w:color="FFFFFF" w:sz="0"/>
              <w:right w:val="none" w:color="FFFFFF" w:sz="0"/>
            </w:tcBorders>
          </w:tcPr>
          <w:p>
            <w:r>
              <w:t xml:space="preserve"/>
            </w:r>
          </w:p>
        </w:tc>
        <w:tc>
          <w:tcPr>
            <w:tcW w:type="dxa" w:w="4313"/>
            <w:tcBorders>
              <w:top w:val="none" w:color="FFFFFF" w:sz="0"/>
              <w:left w:val="none" w:color="FFFFFF" w:sz="0"/>
              <w:bottom w:val="none" w:color="FFFFFF" w:sz="0"/>
              <w:right w:val="none" w:color="FFFFFF" w:sz="0"/>
            </w:tcBorders>
          </w:tcPr>
          <w:p>
            <w:pPr>
              <w:spacing w:after="60" w:before="40"/>
            </w:pPr>
            <w:r>
              <w:rPr>
                <w:rFonts w:ascii="Arial" w:cs="Arial" w:eastAsia="Arial" w:hAnsi="Arial"/>
                <w:b/>
                <w:bCs/>
                <w:color w:val="000000"/>
                <w:sz w:val="22"/>
                <w:szCs w:val="22"/>
              </w:rPr>
              <w:t xml:space="preserve">DATA PROCESSOR (MEDIBANK NEXUS)</w:t>
            </w:r>
          </w:p>
          <w:p>
            <w:pPr>
              <w:spacing w:after="480"/>
            </w:pPr>
            <w:r>
              <w:rPr>
                <w:rFonts w:ascii="Arial" w:cs="Arial" w:eastAsia="Arial" w:hAnsi="Arial"/>
                <w:color w:val="000000"/>
                <w:sz w:val="22"/>
                <w:szCs w:val="22"/>
              </w:rPr>
              <w:t xml:space="preserve">MediBank Nexus Limited</w:t>
            </w:r>
          </w:p>
          <w:p>
            <w:r>
              <w:rPr>
                <w:rFonts w:ascii="Arial" w:cs="Arial" w:eastAsia="Arial" w:hAnsi="Arial"/>
                <w:sz w:val="22"/>
                <w:szCs w:val="22"/>
              </w:rPr>
              <w:t xml:space="preserve">____________________________________________</w:t>
            </w:r>
          </w:p>
          <w:p>
            <w:pPr>
              <w:spacing w:after="60"/>
            </w:pPr>
            <w:r>
              <w:rPr>
                <w:rFonts w:ascii="Arial" w:cs="Arial" w:eastAsia="Arial" w:hAnsi="Arial"/>
                <w:b/>
                <w:bCs/>
                <w:color w:val="000000"/>
                <w:sz w:val="22"/>
                <w:szCs w:val="22"/>
              </w:rPr>
              <w:t xml:space="preserve">Joshua Redeem Ohiani Bankole</w:t>
            </w:r>
          </w:p>
          <w:p>
            <w:pPr>
              <w:spacing w:after="60"/>
            </w:pPr>
            <w:r>
              <w:rPr>
                <w:rFonts w:ascii="Arial" w:cs="Arial" w:eastAsia="Arial" w:hAnsi="Arial"/>
                <w:color w:val="000000"/>
                <w:sz w:val="22"/>
                <w:szCs w:val="22"/>
              </w:rPr>
              <w:t xml:space="preserve">Director / Chief Executive Officer</w:t>
            </w:r>
          </w:p>
          <w:p>
            <w:r>
              <w:rPr>
                <w:rFonts w:ascii="Arial" w:cs="Arial" w:eastAsia="Arial" w:hAnsi="Arial"/>
                <w:color w:val="000000"/>
                <w:sz w:val="22"/>
                <w:szCs w:val="22"/>
              </w:rPr>
              <w:t xml:space="preserve">Date: ___________________________</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3E8" w:sz="4" w:space="6"/>
      </w:pBdr>
      <w:tabs>
        <w:tab w:val="right" w:pos="9026"/>
      </w:tabs>
      <w:spacing w:before="120"/>
    </w:pPr>
    <w:r>
      <w:rPr>
        <w:rFonts w:ascii="Arial" w:cs="Arial" w:eastAsia="Arial" w:hAnsi="Arial"/>
        <w:color w:val="555555"/>
        <w:sz w:val="18"/>
        <w:szCs w:val="18"/>
      </w:rPr>
      <w:t xml:space="preserve">© 2026 MediBank Nexus Limited.</w:t>
    </w:r>
    <w:r>
      <w:rPr>
        <w:rFonts w:ascii="Arial" w:cs="Arial" w:eastAsia="Arial" w:hAnsi="Arial"/>
        <w:color w:val="555555"/>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space="6"/>
      </w:pBdr>
      <w:spacing w:after="120"/>
    </w:pPr>
    <w:r>
      <w:rPr>
        <w:rFonts w:ascii="Arial" w:cs="Arial" w:eastAsia="Arial" w:hAnsi="Arial"/>
        <w:b/>
        <w:bCs/>
        <w:color w:val="0A3D62"/>
        <w:sz w:val="20"/>
        <w:szCs w:val="20"/>
      </w:rPr>
      <w:t xml:space="preserve">MediBank Nexus Limited</w:t>
    </w:r>
    <w:r>
      <w:rPr>
        <w:rFonts w:ascii="Arial" w:cs="Arial" w:eastAsia="Arial" w:hAnsi="Arial"/>
        <w:color w:val="555555"/>
        <w:sz w:val="20"/>
        <w:szCs w:val="20"/>
      </w:rPr>
      <w:t xml:space="preserve">   |   Data Processing Agreement (NDPR)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A3D62"/>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73E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2026-05-29T21:58:42.645Z</dcterms:created>
  <dcterms:modified xsi:type="dcterms:W3CDTF">2026-05-29T21:58:42.657Z</dcterms:modified>
</cp:coreProperties>
</file>

<file path=docProps/custom.xml><?xml version="1.0" encoding="utf-8"?>
<Properties xmlns="http://schemas.openxmlformats.org/officeDocument/2006/custom-properties" xmlns:vt="http://schemas.openxmlformats.org/officeDocument/2006/docPropsVTypes"/>
</file>