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A3D62"/>
          <w:sz w:val="48"/>
          <w:szCs w:val="48"/>
        </w:rPr>
        <w:t xml:space="preserve">MEDIBANK NEXUS LIMITED</w:t>
      </w:r>
    </w:p>
    <w:p>
      <w:pPr>
        <w:spacing w:after="80"/>
        <w:jc w:val="center"/>
      </w:pPr>
      <w:r>
        <w:rPr>
          <w:rFonts w:ascii="Arial" w:cs="Arial" w:eastAsia="Arial" w:hAnsi="Arial"/>
          <w:b/>
          <w:bCs/>
          <w:color w:val="1A73E8"/>
          <w:sz w:val="36"/>
          <w:szCs w:val="36"/>
        </w:rPr>
        <w:t xml:space="preserve">ADVISOR AGREEMENT</w:t>
      </w:r>
    </w:p>
    <w:p>
      <w:pPr>
        <w:spacing w:after="80"/>
        <w:jc w:val="center"/>
      </w:pPr>
      <w:r>
        <w:rPr>
          <w:rFonts w:ascii="Arial" w:cs="Arial" w:eastAsia="Arial" w:hAnsi="Arial"/>
          <w:i/>
          <w:iCs/>
          <w:color w:val="555555"/>
          <w:sz w:val="22"/>
          <w:szCs w:val="22"/>
        </w:rPr>
        <w:t xml:space="preserve">(Based on the FAST — Founder / Advisor Standard Template)</w:t>
      </w:r>
    </w:p>
    <w:p>
      <w:pPr>
        <w:spacing w:after="480"/>
        <w:jc w:val="center"/>
      </w:pPr>
      <w:r>
        <w:rPr>
          <w:rFonts w:ascii="Arial" w:cs="Arial" w:eastAsia="Arial" w:hAnsi="Arial"/>
          <w:i/>
          <w:iCs/>
          <w:color w:val="555555"/>
          <w:sz w:val="22"/>
          <w:szCs w:val="22"/>
        </w:rPr>
        <w:t xml:space="preserve">Strictly Confidential</w:t>
      </w:r>
    </w:p>
    <w:p>
      <w:pPr>
        <w:pBdr>
          <w:bottom w:val="single" w:color="1A73E8" w:sz="4"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Company</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MediBank Nexus 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Advisor Full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Advisor's full legal name]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Advisor Address</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Advisor's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Advisor Title / Credentials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e.g. Dr. / Medical Director / Consultant Physician]</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Advisory Role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Clinical Advisor / Business Advisor / Investor Advisor]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Equity Granted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e.g. 0.75% of total issued shares]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Share Type</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Ordinary Shares / Options — confirm with your lawyer]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Vesting Period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2 years from Effective Date, vesting quarterly</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Cliff Period</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6 months from Effective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CC0000"/>
                <w:sz w:val="22"/>
                <w:szCs w:val="22"/>
              </w:rPr>
              <w:t xml:space="preserve">[EDIT: Date of signing]</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000000"/>
                <w:sz w:val="22"/>
                <w:szCs w:val="22"/>
              </w:rPr>
              <w:t xml:space="preserve">Minimum Commitment</w:t>
            </w:r>
          </w:p>
        </w:tc>
        <w:tc>
          <w:tcPr>
            <w:tcW w:type="dxa" w:w="6226"/>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i/>
                <w:iCs/>
                <w:color w:val="CC0000"/>
                <w:sz w:val="22"/>
                <w:szCs w:val="22"/>
              </w:rPr>
              <w:t xml:space="preserve">[EDIT: e.g. Monthly 30-minute advisory call + 2 introductions per quarter]</w:t>
            </w:r>
          </w:p>
        </w:tc>
      </w:tr>
    </w:tbl>
    <w:p>
      <w:pPr>
        <w:spacing w:after="80"/>
      </w:pPr>
      <w:r>
        <w:t xml:space="preserve"/>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1. PURPOSE AND APPOINTMENT</w:t>
      </w:r>
    </w:p>
    <w:p>
      <w:pPr>
        <w:spacing w:after="160"/>
        <w:jc w:val="both"/>
      </w:pPr>
      <w:r>
        <w:rPr>
          <w:rFonts w:ascii="Arial" w:cs="Arial" w:eastAsia="Arial" w:hAnsi="Arial"/>
          <w:color w:val="000000"/>
          <w:sz w:val="22"/>
          <w:szCs w:val="22"/>
        </w:rPr>
        <w:t xml:space="preserve">MediBank Nexus Limited ("Company") hereby appoints the Advisor named above ("Advisor") to serve as a member of its Advisory Board in the capacity specified above. The Advisor accepts this appointment subject to the terms and conditions set out in this Agreement.</w:t>
      </w:r>
    </w:p>
    <w:p>
      <w:pPr>
        <w:spacing w:after="160"/>
        <w:jc w:val="both"/>
      </w:pPr>
      <w:r>
        <w:rPr>
          <w:rFonts w:ascii="Arial" w:cs="Arial" w:eastAsia="Arial" w:hAnsi="Arial"/>
          <w:color w:val="000000"/>
          <w:sz w:val="22"/>
          <w:szCs w:val="22"/>
        </w:rPr>
        <w:t xml:space="preserve">The Advisor's role is to provide strategic guidance, make relevant introductions, and contribute domain expertise to support the growth of the Company's hospital management software business in Nigeria and Africa. The Advisor is not an employee, director, or officer of the Company and shall not have authority to bind the Company in any way.</w:t>
      </w:r>
    </w:p>
    <w:p>
      <w:pPr>
        <w:pStyle w:val="Heading1"/>
        <w:spacing w:after="160" w:before="360"/>
      </w:pPr>
      <w:r>
        <w:rPr>
          <w:rFonts w:ascii="Arial" w:cs="Arial" w:eastAsia="Arial" w:hAnsi="Arial"/>
          <w:b/>
          <w:bCs/>
          <w:color w:val="0A3D62"/>
          <w:sz w:val="28"/>
          <w:szCs w:val="28"/>
        </w:rPr>
        <w:t xml:space="preserve">2. ADVISOR SERVICES</w:t>
      </w:r>
    </w:p>
    <w:p>
      <w:pPr>
        <w:pStyle w:val="Heading2"/>
        <w:spacing w:after="120" w:before="240"/>
      </w:pPr>
      <w:r>
        <w:rPr>
          <w:rFonts w:ascii="Arial" w:cs="Arial" w:eastAsia="Arial" w:hAnsi="Arial"/>
          <w:b/>
          <w:bCs/>
          <w:color w:val="1A73E8"/>
          <w:sz w:val="24"/>
          <w:szCs w:val="24"/>
        </w:rPr>
        <w:t xml:space="preserve">2.1 Core Commitments</w:t>
      </w:r>
    </w:p>
    <w:p>
      <w:pPr>
        <w:spacing w:after="160"/>
        <w:jc w:val="left"/>
      </w:pPr>
      <w:r>
        <w:rPr>
          <w:rFonts w:ascii="Arial" w:cs="Arial" w:eastAsia="Arial" w:hAnsi="Arial"/>
          <w:color w:val="000000"/>
          <w:sz w:val="22"/>
          <w:szCs w:val="22"/>
        </w:rPr>
        <w:t xml:space="preserve">The Advisor agrees to provide the following minimum level of engagement:</w:t>
      </w:r>
    </w:p>
    <w:p>
      <w:pPr>
        <w:pStyle w:val="ListParagraph"/>
        <w:numPr>
          <w:ilvl w:val="0"/>
          <w:numId w:val="2"/>
        </w:numPr>
        <w:spacing w:after="100"/>
      </w:pPr>
      <w:r>
        <w:rPr>
          <w:rFonts w:ascii="Arial" w:cs="Arial" w:eastAsia="Arial" w:hAnsi="Arial"/>
          <w:color w:val="000000"/>
          <w:sz w:val="22"/>
          <w:szCs w:val="22"/>
        </w:rPr>
        <w:t xml:space="preserve">[EDIT: e.g. Attend a monthly 30-minute advisory call with the CEO or founding team.]</w:t>
      </w:r>
    </w:p>
    <w:p>
      <w:pPr>
        <w:pStyle w:val="ListParagraph"/>
        <w:numPr>
          <w:ilvl w:val="0"/>
          <w:numId w:val="2"/>
        </w:numPr>
        <w:spacing w:after="100"/>
      </w:pPr>
      <w:r>
        <w:rPr>
          <w:rFonts w:ascii="Arial" w:cs="Arial" w:eastAsia="Arial" w:hAnsi="Arial"/>
          <w:color w:val="000000"/>
          <w:sz w:val="22"/>
          <w:szCs w:val="22"/>
        </w:rPr>
        <w:t xml:space="preserve">[EDIT: e.g. Provide a minimum of two (2) warm introductions per quarter to potential hospital clients, investors, or strategic partners.]</w:t>
      </w:r>
    </w:p>
    <w:p>
      <w:pPr>
        <w:pStyle w:val="ListParagraph"/>
        <w:numPr>
          <w:ilvl w:val="0"/>
          <w:numId w:val="2"/>
        </w:numPr>
        <w:spacing w:after="100"/>
      </w:pPr>
      <w:r>
        <w:rPr>
          <w:rFonts w:ascii="Arial" w:cs="Arial" w:eastAsia="Arial" w:hAnsi="Arial"/>
          <w:color w:val="000000"/>
          <w:sz w:val="22"/>
          <w:szCs w:val="22"/>
        </w:rPr>
        <w:t xml:space="preserve">[EDIT: e.g. Review and provide feedback on product updates, pricing, or clinical workflows when requested, within seven (7) business days.]</w:t>
      </w:r>
    </w:p>
    <w:p>
      <w:pPr>
        <w:pStyle w:val="ListParagraph"/>
        <w:numPr>
          <w:ilvl w:val="0"/>
          <w:numId w:val="2"/>
        </w:numPr>
        <w:spacing w:after="100"/>
      </w:pPr>
      <w:r>
        <w:rPr>
          <w:rFonts w:ascii="Arial" w:cs="Arial" w:eastAsia="Arial" w:hAnsi="Arial"/>
          <w:color w:val="000000"/>
          <w:sz w:val="22"/>
          <w:szCs w:val="22"/>
        </w:rPr>
        <w:t xml:space="preserve">[EDIT: e.g. Be available for up to two (2) reference calls per quarter with hospitals or investors evaluating MediBank Nexus.]</w:t>
      </w:r>
    </w:p>
    <w:p>
      <w:pPr>
        <w:pStyle w:val="ListParagraph"/>
        <w:numPr>
          <w:ilvl w:val="0"/>
          <w:numId w:val="2"/>
        </w:numPr>
        <w:spacing w:after="100"/>
      </w:pPr>
      <w:r>
        <w:rPr>
          <w:rFonts w:ascii="Arial" w:cs="Arial" w:eastAsia="Arial" w:hAnsi="Arial"/>
          <w:color w:val="000000"/>
          <w:sz w:val="22"/>
          <w:szCs w:val="22"/>
        </w:rPr>
        <w:t xml:space="preserve">[EDIT: e.g. Attend the Company's annual strategy session if reasonably practicable.]</w:t>
      </w:r>
    </w:p>
    <w:p>
      <w:pPr>
        <w:spacing w:after="80"/>
      </w:pPr>
      <w:r>
        <w:t xml:space="preserve"/>
      </w:r>
    </w:p>
    <w:p>
      <w:pPr>
        <w:pStyle w:val="Heading2"/>
        <w:spacing w:after="120" w:before="240"/>
      </w:pPr>
      <w:r>
        <w:rPr>
          <w:rFonts w:ascii="Arial" w:cs="Arial" w:eastAsia="Arial" w:hAnsi="Arial"/>
          <w:b/>
          <w:bCs/>
          <w:color w:val="1A73E8"/>
          <w:sz w:val="24"/>
          <w:szCs w:val="24"/>
        </w:rPr>
        <w:t xml:space="preserve">2.2 Nature of Services</w:t>
      </w:r>
    </w:p>
    <w:p>
      <w:pPr>
        <w:spacing w:after="160"/>
        <w:jc w:val="left"/>
      </w:pPr>
      <w:r>
        <w:rPr>
          <w:rFonts w:ascii="Arial" w:cs="Arial" w:eastAsia="Arial" w:hAnsi="Arial"/>
          <w:color w:val="000000"/>
          <w:sz w:val="22"/>
          <w:szCs w:val="22"/>
        </w:rPr>
        <w:t xml:space="preserve">The Advisor's services are advisory only. The Company shall retain final decision-making authority on all matters. The Advisor is not required to dedicate a fixed number of hours and shall manage their time in the manner they deem appropriate to fulfil the above commitments.</w:t>
      </w:r>
    </w:p>
    <w:p>
      <w:pPr>
        <w:pStyle w:val="Heading2"/>
        <w:spacing w:after="120" w:before="240"/>
      </w:pPr>
      <w:r>
        <w:rPr>
          <w:rFonts w:ascii="Arial" w:cs="Arial" w:eastAsia="Arial" w:hAnsi="Arial"/>
          <w:b/>
          <w:bCs/>
          <w:color w:val="1A73E8"/>
          <w:sz w:val="24"/>
          <w:szCs w:val="24"/>
        </w:rPr>
        <w:t xml:space="preserve">2.3 Reporting</w:t>
      </w:r>
    </w:p>
    <w:p>
      <w:pPr>
        <w:spacing w:after="160"/>
        <w:jc w:val="left"/>
      </w:pPr>
      <w:r>
        <w:rPr>
          <w:rFonts w:ascii="Arial" w:cs="Arial" w:eastAsia="Arial" w:hAnsi="Arial"/>
          <w:color w:val="000000"/>
          <w:sz w:val="22"/>
          <w:szCs w:val="22"/>
        </w:rPr>
        <w:t xml:space="preserve">The Advisor shall report to and take direction from the Chief Executive Officer of the Company (or such other person as the Company may designate from time to time).</w:t>
      </w:r>
    </w:p>
    <w:p>
      <w:pPr>
        <w:pStyle w:val="Heading1"/>
        <w:spacing w:after="160" w:before="360"/>
      </w:pPr>
      <w:r>
        <w:rPr>
          <w:rFonts w:ascii="Arial" w:cs="Arial" w:eastAsia="Arial" w:hAnsi="Arial"/>
          <w:b/>
          <w:bCs/>
          <w:color w:val="0A3D62"/>
          <w:sz w:val="28"/>
          <w:szCs w:val="28"/>
        </w:rPr>
        <w:t xml:space="preserve">3. EQUITY COMPENSATION</w:t>
      </w:r>
    </w:p>
    <w:p>
      <w:pPr>
        <w:pStyle w:val="Heading2"/>
        <w:spacing w:after="120" w:before="240"/>
      </w:pPr>
      <w:r>
        <w:rPr>
          <w:rFonts w:ascii="Arial" w:cs="Arial" w:eastAsia="Arial" w:hAnsi="Arial"/>
          <w:b/>
          <w:bCs/>
          <w:color w:val="1A73E8"/>
          <w:sz w:val="24"/>
          <w:szCs w:val="24"/>
        </w:rPr>
        <w:t xml:space="preserve">3.1 Grant</w:t>
      </w:r>
    </w:p>
    <w:p>
      <w:pPr>
        <w:spacing w:after="160"/>
        <w:jc w:val="left"/>
      </w:pPr>
      <w:r>
        <w:rPr>
          <w:rFonts w:ascii="Arial" w:cs="Arial" w:eastAsia="Arial" w:hAnsi="Arial"/>
          <w:color w:val="000000"/>
          <w:sz w:val="22"/>
          <w:szCs w:val="22"/>
        </w:rPr>
        <w:t xml:space="preserve">In consideration of the advisory services to be provided under this Agreement, the Company shall grant the Advisor the equity specified in the cover details of this Agreement. The grant is subject to the vesting schedule below and to the Advisor fulfilling their commitments under Section 2.</w:t>
      </w:r>
    </w:p>
    <w:p>
      <w:pPr>
        <w:pStyle w:val="Heading2"/>
        <w:spacing w:after="120" w:before="240"/>
      </w:pPr>
      <w:r>
        <w:rPr>
          <w:rFonts w:ascii="Arial" w:cs="Arial" w:eastAsia="Arial" w:hAnsi="Arial"/>
          <w:b/>
          <w:bCs/>
          <w:color w:val="1A73E8"/>
          <w:sz w:val="24"/>
          <w:szCs w:val="24"/>
        </w:rPr>
        <w:t xml:space="preserve">3.2 Vesting Schedule</w:t>
      </w:r>
    </w:p>
    <w:p>
      <w:pPr>
        <w:spacing w:after="160"/>
        <w:jc w:val="left"/>
      </w:pPr>
      <w:r>
        <w:rPr>
          <w:rFonts w:ascii="Arial" w:cs="Arial" w:eastAsia="Arial" w:hAnsi="Arial"/>
          <w:color w:val="000000"/>
          <w:sz w:val="22"/>
          <w:szCs w:val="22"/>
        </w:rPr>
        <w:t xml:space="preserve">The equity shall vest as follows:</w:t>
      </w:r>
    </w:p>
    <w:p>
      <w:pPr>
        <w:pStyle w:val="ListParagraph"/>
        <w:numPr>
          <w:ilvl w:val="0"/>
          <w:numId w:val="2"/>
        </w:numPr>
        <w:spacing w:after="100"/>
      </w:pPr>
      <w:r>
        <w:rPr>
          <w:rFonts w:ascii="Arial" w:cs="Arial" w:eastAsia="Arial" w:hAnsi="Arial"/>
          <w:color w:val="000000"/>
          <w:sz w:val="22"/>
          <w:szCs w:val="22"/>
        </w:rPr>
        <w:t xml:space="preserve">Cliff: No equity shall vest during the first six (6) months from the Effective Date.</w:t>
      </w:r>
    </w:p>
    <w:p>
      <w:pPr>
        <w:pStyle w:val="ListParagraph"/>
        <w:numPr>
          <w:ilvl w:val="0"/>
          <w:numId w:val="2"/>
        </w:numPr>
        <w:spacing w:after="100"/>
      </w:pPr>
      <w:r>
        <w:rPr>
          <w:rFonts w:ascii="Arial" w:cs="Arial" w:eastAsia="Arial" w:hAnsi="Arial"/>
          <w:color w:val="000000"/>
          <w:sz w:val="22"/>
          <w:szCs w:val="22"/>
        </w:rPr>
        <w:t xml:space="preserve">Quarterly Vesting: After the cliff, equity shall vest in equal quarterly instalments over the remaining eighteen (18) months, for a total vesting period of twenty-four (24) months.</w:t>
      </w:r>
    </w:p>
    <w:p>
      <w:pPr>
        <w:pStyle w:val="ListParagraph"/>
        <w:numPr>
          <w:ilvl w:val="0"/>
          <w:numId w:val="2"/>
        </w:numPr>
        <w:spacing w:after="100"/>
      </w:pPr>
      <w:r>
        <w:rPr>
          <w:rFonts w:ascii="Arial" w:cs="Arial" w:eastAsia="Arial" w:hAnsi="Arial"/>
          <w:color w:val="000000"/>
          <w:sz w:val="22"/>
          <w:szCs w:val="22"/>
        </w:rPr>
        <w:t xml:space="preserve">Full vesting: All equity shall be fully vested twenty-four (24) months from the Effective Date, provided the Advisor remains engaged and fulfilling their commitments.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226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Vested</w:t>
            </w:r>
          </w:p>
        </w:tc>
        <w:tc>
          <w:tcPr>
            <w:tcW w:type="dxa" w:w="4263"/>
            <w:tcBorders>
              <w:top w:val="single" w:color="CCCCCC" w:sz="1"/>
              <w:left w:val="single" w:color="CCCCCC" w:sz="1"/>
              <w:bottom w:val="single" w:color="CCCCCC" w:sz="1"/>
              <w:right w:val="single" w:color="CCCCCC" w:sz="1"/>
            </w:tcBorders>
            <w:shd w:fill="0A3D62" w:val="clear"/>
            <w:tcMar>
              <w:top w:type="dxa" w:w="80"/>
              <w:left w:type="dxa" w:w="120"/>
              <w:bottom w:type="dxa" w:w="80"/>
              <w:right w:type="dxa" w:w="120"/>
            </w:tcMar>
          </w:tcPr>
          <w:p>
            <w:r>
              <w:rPr>
                <w:rFonts w:ascii="Arial" w:cs="Arial" w:eastAsia="Arial" w:hAnsi="Arial"/>
                <w:b/>
                <w:bCs/>
                <w:color w:val="FFFFFF"/>
                <w:sz w:val="22"/>
                <w:szCs w:val="22"/>
              </w:rPr>
              <w:t xml:space="preserve">Event</w:t>
            </w:r>
          </w:p>
        </w:tc>
      </w:tr>
      <w:tr>
        <w:tc>
          <w:tcPr>
            <w:tcW w:type="dxa" w:w="2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Months 1 – 6</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0%</w:t>
            </w:r>
          </w:p>
        </w:tc>
        <w:tc>
          <w:tcPr>
            <w:tcW w:type="dxa" w:w="4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Cliff period — no vesting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Month 6</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12.5%</w:t>
            </w:r>
          </w:p>
        </w:tc>
        <w:tc>
          <w:tcPr>
            <w:tcW w:type="dxa" w:w="4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First quarterly vest after cliff</w:t>
            </w:r>
          </w:p>
        </w:tc>
      </w:tr>
      <w:tr>
        <w:tc>
          <w:tcPr>
            <w:tcW w:type="dxa" w:w="2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Month 9</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12.5%</w:t>
            </w:r>
          </w:p>
        </w:tc>
        <w:tc>
          <w:tcPr>
            <w:tcW w:type="dxa" w:w="4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Second quarterly vest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Month 12</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12.5%</w:t>
            </w:r>
          </w:p>
        </w:tc>
        <w:tc>
          <w:tcPr>
            <w:tcW w:type="dxa" w:w="4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Third quarterly vest</w:t>
            </w:r>
          </w:p>
        </w:tc>
      </w:tr>
      <w:tr>
        <w:tc>
          <w:tcPr>
            <w:tcW w:type="dxa" w:w="2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Month 15</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12.5%</w:t>
            </w:r>
          </w:p>
        </w:tc>
        <w:tc>
          <w:tcPr>
            <w:tcW w:type="dxa" w:w="4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Fourth quarterly vest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Month 18</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12.5%</w:t>
            </w:r>
          </w:p>
        </w:tc>
        <w:tc>
          <w:tcPr>
            <w:tcW w:type="dxa" w:w="4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Fifth quarterly vest</w:t>
            </w:r>
          </w:p>
        </w:tc>
      </w:tr>
      <w:tr>
        <w:tc>
          <w:tcPr>
            <w:tcW w:type="dxa" w:w="25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Month 21</w:t>
            </w:r>
          </w:p>
        </w:tc>
        <w:tc>
          <w:tcPr>
            <w:tcW w:type="dxa" w:w="2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12.5%</w:t>
            </w:r>
          </w:p>
        </w:tc>
        <w:tc>
          <w:tcPr>
            <w:tcW w:type="dxa" w:w="4263"/>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color w:val="000000"/>
                <w:sz w:val="22"/>
                <w:szCs w:val="22"/>
              </w:rPr>
              <w:t xml:space="preserve">Sixth quarterly vest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Month 24</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25%</w:t>
            </w:r>
          </w:p>
        </w:tc>
        <w:tc>
          <w:tcPr>
            <w:tcW w:type="dxa" w:w="4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Final vest — 100% fully vested</w:t>
            </w:r>
          </w:p>
        </w:tc>
      </w:tr>
    </w:tbl>
    <w:p>
      <w:pPr>
        <w:spacing w:after="80"/>
      </w:pPr>
      <w:r>
        <w:t xml:space="preserve"/>
      </w:r>
    </w:p>
    <w:p>
      <w:pPr>
        <w:pStyle w:val="Heading2"/>
        <w:spacing w:after="120" w:before="240"/>
      </w:pPr>
      <w:r>
        <w:rPr>
          <w:rFonts w:ascii="Arial" w:cs="Arial" w:eastAsia="Arial" w:hAnsi="Arial"/>
          <w:b/>
          <w:bCs/>
          <w:color w:val="1A73E8"/>
          <w:sz w:val="24"/>
          <w:szCs w:val="24"/>
        </w:rPr>
        <w:t xml:space="preserve">3.3 No Cash Compensation</w:t>
      </w:r>
    </w:p>
    <w:p>
      <w:pPr>
        <w:spacing w:after="160"/>
        <w:jc w:val="left"/>
      </w:pPr>
      <w:r>
        <w:rPr>
          <w:rFonts w:ascii="Arial" w:cs="Arial" w:eastAsia="Arial" w:hAnsi="Arial"/>
          <w:color w:val="000000"/>
          <w:sz w:val="22"/>
          <w:szCs w:val="22"/>
        </w:rPr>
        <w:t xml:space="preserve">Unless otherwise agreed in writing, the equity grant in Section 3.1 constitutes the Advisor's sole compensation for services rendered under this Agreement. The Company shall not pay the Advisor any salary, retainer, or per-hour fee.</w:t>
      </w:r>
    </w:p>
    <w:p>
      <w:pPr>
        <w:pStyle w:val="Heading2"/>
        <w:spacing w:after="120" w:before="240"/>
      </w:pPr>
      <w:r>
        <w:rPr>
          <w:rFonts w:ascii="Arial" w:cs="Arial" w:eastAsia="Arial" w:hAnsi="Arial"/>
          <w:b/>
          <w:bCs/>
          <w:color w:val="1A73E8"/>
          <w:sz w:val="24"/>
          <w:szCs w:val="24"/>
        </w:rPr>
        <w:t xml:space="preserve">3.4 Expenses</w:t>
      </w:r>
    </w:p>
    <w:p>
      <w:pPr>
        <w:spacing w:after="160"/>
        <w:jc w:val="left"/>
      </w:pPr>
      <w:r>
        <w:rPr>
          <w:rFonts w:ascii="Arial" w:cs="Arial" w:eastAsia="Arial" w:hAnsi="Arial"/>
          <w:color w:val="000000"/>
          <w:sz w:val="22"/>
          <w:szCs w:val="22"/>
        </w:rPr>
        <w:t xml:space="preserve">The Company shall reimburse the Advisor for pre-approved out-of-pocket expenses reasonably incurred in connection with advisory services. Expenses above [EDIT: e.g. NGN 20,000] per month require prior written approval from the CEO.</w:t>
      </w:r>
    </w:p>
    <w:p>
      <w:pPr>
        <w:pStyle w:val="Heading2"/>
        <w:spacing w:after="120" w:before="240"/>
      </w:pPr>
      <w:r>
        <w:rPr>
          <w:rFonts w:ascii="Arial" w:cs="Arial" w:eastAsia="Arial" w:hAnsi="Arial"/>
          <w:b/>
          <w:bCs/>
          <w:color w:val="1A73E8"/>
          <w:sz w:val="24"/>
          <w:szCs w:val="24"/>
        </w:rPr>
        <w:t xml:space="preserve">3.5 Forfeiture</w:t>
      </w:r>
    </w:p>
    <w:p>
      <w:pPr>
        <w:spacing w:after="160"/>
        <w:jc w:val="left"/>
      </w:pPr>
      <w:r>
        <w:rPr>
          <w:rFonts w:ascii="Arial" w:cs="Arial" w:eastAsia="Arial" w:hAnsi="Arial"/>
          <w:color w:val="000000"/>
          <w:sz w:val="22"/>
          <w:szCs w:val="22"/>
        </w:rPr>
        <w:t xml:space="preserve">If the Advisor ceases to fulfil their commitments under Section 2, or terminates this Agreement before full vesting, all unvested equity shall be forfeited and returned to the Company's option pool. Vested equity shall be retained subject to the transfer restrictions in Section 7.</w:t>
      </w:r>
    </w:p>
    <w:p>
      <w:pPr>
        <w:pStyle w:val="Heading1"/>
        <w:spacing w:after="160" w:before="360"/>
      </w:pPr>
      <w:r>
        <w:rPr>
          <w:rFonts w:ascii="Arial" w:cs="Arial" w:eastAsia="Arial" w:hAnsi="Arial"/>
          <w:b/>
          <w:bCs/>
          <w:color w:val="0A3D62"/>
          <w:sz w:val="28"/>
          <w:szCs w:val="28"/>
        </w:rPr>
        <w:t xml:space="preserve">4. INDEPENDENT CONTRACTOR STATUS</w:t>
      </w:r>
    </w:p>
    <w:p>
      <w:pPr>
        <w:spacing w:after="160"/>
        <w:jc w:val="left"/>
      </w:pPr>
      <w:r>
        <w:rPr>
          <w:rFonts w:ascii="Arial" w:cs="Arial" w:eastAsia="Arial" w:hAnsi="Arial"/>
          <w:color w:val="000000"/>
          <w:sz w:val="22"/>
          <w:szCs w:val="22"/>
        </w:rPr>
        <w:t xml:space="preserve">The Advisor is an independent contractor and not an employee, partner, agent, or co-venturer of the Company. The Advisor is responsible for all taxes arising from compensation received under this Agreement. Nothing in this Agreement shall be construed to create an employment relationship or entitle the Advisor to any employment benefits.</w:t>
      </w:r>
    </w:p>
    <w:p>
      <w:pPr>
        <w:pStyle w:val="Heading1"/>
        <w:spacing w:after="160" w:before="360"/>
      </w:pPr>
      <w:r>
        <w:rPr>
          <w:rFonts w:ascii="Arial" w:cs="Arial" w:eastAsia="Arial" w:hAnsi="Arial"/>
          <w:b/>
          <w:bCs/>
          <w:color w:val="0A3D62"/>
          <w:sz w:val="28"/>
          <w:szCs w:val="28"/>
        </w:rPr>
        <w:t xml:space="preserve">5. CONFIDENTIALITY</w:t>
      </w:r>
    </w:p>
    <w:p>
      <w:pPr>
        <w:spacing w:after="160"/>
        <w:jc w:val="left"/>
      </w:pPr>
      <w:r>
        <w:rPr>
          <w:rFonts w:ascii="Arial" w:cs="Arial" w:eastAsia="Arial" w:hAnsi="Arial"/>
          <w:color w:val="000000"/>
          <w:sz w:val="22"/>
          <w:szCs w:val="22"/>
        </w:rPr>
        <w:t xml:space="preserve">The Advisor acknowledges that in the course of providing advisory services, they will receive access to confidential and proprietary information of the Company, including but not limited to: business strategy, financial information, product roadmaps, customer data, investor information, and technical details. The Advisor agrees to:</w:t>
      </w:r>
    </w:p>
    <w:p>
      <w:pPr>
        <w:pStyle w:val="ListParagraph"/>
        <w:numPr>
          <w:ilvl w:val="0"/>
          <w:numId w:val="2"/>
        </w:numPr>
        <w:spacing w:after="100"/>
      </w:pPr>
      <w:r>
        <w:rPr>
          <w:rFonts w:ascii="Arial" w:cs="Arial" w:eastAsia="Arial" w:hAnsi="Arial"/>
          <w:color w:val="000000"/>
          <w:sz w:val="22"/>
          <w:szCs w:val="22"/>
        </w:rPr>
        <w:t xml:space="preserve">Keep all such information strictly confidential during and for five (5) years after the term of this Agreement.</w:t>
      </w:r>
    </w:p>
    <w:p>
      <w:pPr>
        <w:pStyle w:val="ListParagraph"/>
        <w:numPr>
          <w:ilvl w:val="0"/>
          <w:numId w:val="2"/>
        </w:numPr>
        <w:spacing w:after="100"/>
      </w:pPr>
      <w:r>
        <w:rPr>
          <w:rFonts w:ascii="Arial" w:cs="Arial" w:eastAsia="Arial" w:hAnsi="Arial"/>
          <w:color w:val="000000"/>
          <w:sz w:val="22"/>
          <w:szCs w:val="22"/>
        </w:rPr>
        <w:t xml:space="preserve">Not disclose any Confidential Information to any third party without prior written consent from the Company.</w:t>
      </w:r>
    </w:p>
    <w:p>
      <w:pPr>
        <w:pStyle w:val="ListParagraph"/>
        <w:numPr>
          <w:ilvl w:val="0"/>
          <w:numId w:val="2"/>
        </w:numPr>
        <w:spacing w:after="100"/>
      </w:pPr>
      <w:r>
        <w:rPr>
          <w:rFonts w:ascii="Arial" w:cs="Arial" w:eastAsia="Arial" w:hAnsi="Arial"/>
          <w:color w:val="000000"/>
          <w:sz w:val="22"/>
          <w:szCs w:val="22"/>
        </w:rPr>
        <w:t xml:space="preserve">Not use any Confidential Information for any purpose other than fulfilling their advisory duties under this Agreement.</w:t>
      </w:r>
    </w:p>
    <w:p>
      <w:pPr>
        <w:pStyle w:val="ListParagraph"/>
        <w:numPr>
          <w:ilvl w:val="0"/>
          <w:numId w:val="2"/>
        </w:numPr>
        <w:spacing w:after="100"/>
      </w:pPr>
      <w:r>
        <w:rPr>
          <w:rFonts w:ascii="Arial" w:cs="Arial" w:eastAsia="Arial" w:hAnsi="Arial"/>
          <w:color w:val="000000"/>
          <w:sz w:val="22"/>
          <w:szCs w:val="22"/>
        </w:rPr>
        <w:t xml:space="preserve">Return or destroy all Confidential Information upon request or upon termination of this Agreement.</w:t>
      </w:r>
    </w:p>
    <w:p>
      <w:pPr>
        <w:pStyle w:val="Heading1"/>
        <w:spacing w:after="160" w:before="360"/>
      </w:pPr>
      <w:r>
        <w:rPr>
          <w:rFonts w:ascii="Arial" w:cs="Arial" w:eastAsia="Arial" w:hAnsi="Arial"/>
          <w:b/>
          <w:bCs/>
          <w:color w:val="0A3D62"/>
          <w:sz w:val="28"/>
          <w:szCs w:val="28"/>
        </w:rPr>
        <w:t xml:space="preserve">6. INTELLECTUAL PROPERTY</w:t>
      </w:r>
    </w:p>
    <w:p>
      <w:pPr>
        <w:spacing w:after="160"/>
        <w:jc w:val="left"/>
      </w:pPr>
      <w:r>
        <w:rPr>
          <w:rFonts w:ascii="Arial" w:cs="Arial" w:eastAsia="Arial" w:hAnsi="Arial"/>
          <w:color w:val="000000"/>
          <w:sz w:val="22"/>
          <w:szCs w:val="22"/>
        </w:rPr>
        <w:t xml:space="preserve">Any ideas, inventions, recommendations, written materials, or other work product created by the Advisor in connection with their advisory services under this Agreement shall be the exclusive property of the Company. The Advisor hereby assigns all rights in such work product to the Company and agrees to execute any documents necessary to perfect such assignment.</w:t>
      </w:r>
    </w:p>
    <w:p>
      <w:pPr>
        <w:pStyle w:val="Heading1"/>
        <w:spacing w:after="160" w:before="360"/>
      </w:pPr>
      <w:r>
        <w:rPr>
          <w:rFonts w:ascii="Arial" w:cs="Arial" w:eastAsia="Arial" w:hAnsi="Arial"/>
          <w:b/>
          <w:bCs/>
          <w:color w:val="0A3D62"/>
          <w:sz w:val="28"/>
          <w:szCs w:val="28"/>
        </w:rPr>
        <w:t xml:space="preserve">7. CONFLICT OF INTEREST AND NON-COMPETE</w:t>
      </w:r>
    </w:p>
    <w:p>
      <w:pPr>
        <w:pStyle w:val="Heading2"/>
        <w:spacing w:after="120" w:before="240"/>
      </w:pPr>
      <w:r>
        <w:rPr>
          <w:rFonts w:ascii="Arial" w:cs="Arial" w:eastAsia="Arial" w:hAnsi="Arial"/>
          <w:b/>
          <w:bCs/>
          <w:color w:val="1A73E8"/>
          <w:sz w:val="24"/>
          <w:szCs w:val="24"/>
        </w:rPr>
        <w:t xml:space="preserve">7.1 Disclosure of Conflicts</w:t>
      </w:r>
    </w:p>
    <w:p>
      <w:pPr>
        <w:spacing w:after="160"/>
        <w:jc w:val="left"/>
      </w:pPr>
      <w:r>
        <w:rPr>
          <w:rFonts w:ascii="Arial" w:cs="Arial" w:eastAsia="Arial" w:hAnsi="Arial"/>
          <w:color w:val="000000"/>
          <w:sz w:val="22"/>
          <w:szCs w:val="22"/>
        </w:rPr>
        <w:t xml:space="preserve">The Advisor shall promptly disclose to the Company any existing or potential conflict of interest, including any engagement with any company that competes with or may compete with MediBank Nexus in the Nigerian or African health-tech market.</w:t>
      </w:r>
    </w:p>
    <w:p>
      <w:pPr>
        <w:pStyle w:val="Heading2"/>
        <w:spacing w:after="120" w:before="240"/>
      </w:pPr>
      <w:r>
        <w:rPr>
          <w:rFonts w:ascii="Arial" w:cs="Arial" w:eastAsia="Arial" w:hAnsi="Arial"/>
          <w:b/>
          <w:bCs/>
          <w:color w:val="1A73E8"/>
          <w:sz w:val="24"/>
          <w:szCs w:val="24"/>
        </w:rPr>
        <w:t xml:space="preserve">7.2 Non-Compete</w:t>
      </w:r>
    </w:p>
    <w:p>
      <w:pPr>
        <w:spacing w:after="160"/>
        <w:jc w:val="left"/>
      </w:pPr>
      <w:r>
        <w:rPr>
          <w:rFonts w:ascii="Arial" w:cs="Arial" w:eastAsia="Arial" w:hAnsi="Arial"/>
          <w:color w:val="000000"/>
          <w:sz w:val="22"/>
          <w:szCs w:val="22"/>
        </w:rPr>
        <w:t xml:space="preserve">During the term of this Agreement and for twelve (12) months following termination, the Advisor shall not, without prior written consent from the Company, provide advisory services to or hold equity in any company that directly competes with MediBank Nexus in the provision of hospital management software in Nigeria.</w:t>
      </w:r>
    </w:p>
    <w:p>
      <w:pPr>
        <w:pStyle w:val="Heading2"/>
        <w:spacing w:after="120" w:before="240"/>
      </w:pPr>
      <w:r>
        <w:rPr>
          <w:rFonts w:ascii="Arial" w:cs="Arial" w:eastAsia="Arial" w:hAnsi="Arial"/>
          <w:b/>
          <w:bCs/>
          <w:color w:val="1A73E8"/>
          <w:sz w:val="24"/>
          <w:szCs w:val="24"/>
        </w:rPr>
        <w:t xml:space="preserve">7.3 Non-Solicitation</w:t>
      </w:r>
    </w:p>
    <w:p>
      <w:pPr>
        <w:spacing w:after="160"/>
        <w:jc w:val="left"/>
      </w:pPr>
      <w:r>
        <w:rPr>
          <w:rFonts w:ascii="Arial" w:cs="Arial" w:eastAsia="Arial" w:hAnsi="Arial"/>
          <w:color w:val="000000"/>
          <w:sz w:val="22"/>
          <w:szCs w:val="22"/>
        </w:rPr>
        <w:t xml:space="preserve">During the term and for twelve (12) months following termination, the Advisor shall not solicit or attempt to solicit any employee, customer, investor, or advisor of the Company to leave or reduce their engagement with the Company.</w:t>
      </w:r>
    </w:p>
    <w:p>
      <w:pPr>
        <w:pStyle w:val="Heading1"/>
        <w:spacing w:after="160" w:before="360"/>
      </w:pPr>
      <w:r>
        <w:rPr>
          <w:rFonts w:ascii="Arial" w:cs="Arial" w:eastAsia="Arial" w:hAnsi="Arial"/>
          <w:b/>
          <w:bCs/>
          <w:color w:val="0A3D62"/>
          <w:sz w:val="28"/>
          <w:szCs w:val="28"/>
        </w:rPr>
        <w:t xml:space="preserve">8. TRANSFER RESTRICTIONS</w:t>
      </w:r>
    </w:p>
    <w:p>
      <w:pPr>
        <w:spacing w:after="160"/>
        <w:jc w:val="left"/>
      </w:pPr>
      <w:r>
        <w:rPr>
          <w:rFonts w:ascii="Arial" w:cs="Arial" w:eastAsia="Arial" w:hAnsi="Arial"/>
          <w:color w:val="000000"/>
          <w:sz w:val="22"/>
          <w:szCs w:val="22"/>
        </w:rPr>
        <w:t xml:space="preserve">The Advisor may not sell, transfer, pledge, or otherwise dispose of any vested equity without first offering such equity to the Company and existing shareholders under a right of first refusal at the same price and terms as proposed to any third party. The right of first refusal period shall be thirty (30) days from written notice.</w:t>
      </w:r>
    </w:p>
    <w:p>
      <w:pPr>
        <w:pStyle w:val="Heading1"/>
        <w:spacing w:after="160" w:before="360"/>
      </w:pPr>
      <w:r>
        <w:rPr>
          <w:rFonts w:ascii="Arial" w:cs="Arial" w:eastAsia="Arial" w:hAnsi="Arial"/>
          <w:b/>
          <w:bCs/>
          <w:color w:val="0A3D62"/>
          <w:sz w:val="28"/>
          <w:szCs w:val="28"/>
        </w:rPr>
        <w:t xml:space="preserve">9. TERM AND TERMINATION</w:t>
      </w:r>
    </w:p>
    <w:p>
      <w:pPr>
        <w:pStyle w:val="Heading2"/>
        <w:spacing w:after="120" w:before="240"/>
      </w:pPr>
      <w:r>
        <w:rPr>
          <w:rFonts w:ascii="Arial" w:cs="Arial" w:eastAsia="Arial" w:hAnsi="Arial"/>
          <w:b/>
          <w:bCs/>
          <w:color w:val="1A73E8"/>
          <w:sz w:val="24"/>
          <w:szCs w:val="24"/>
        </w:rPr>
        <w:t xml:space="preserve">9.1 Term</w:t>
      </w:r>
    </w:p>
    <w:p>
      <w:pPr>
        <w:spacing w:after="160"/>
        <w:jc w:val="left"/>
      </w:pPr>
      <w:r>
        <w:rPr>
          <w:rFonts w:ascii="Arial" w:cs="Arial" w:eastAsia="Arial" w:hAnsi="Arial"/>
          <w:color w:val="000000"/>
          <w:sz w:val="22"/>
          <w:szCs w:val="22"/>
        </w:rPr>
        <w:t xml:space="preserve">This Agreement shall remain in force from the Effective Date for a period of two (2) years, and shall automatically renew for successive one-year periods unless either party gives thirty (30) days' written notice of non-renewal.</w:t>
      </w:r>
    </w:p>
    <w:p>
      <w:pPr>
        <w:pStyle w:val="Heading2"/>
        <w:spacing w:after="120" w:before="240"/>
      </w:pPr>
      <w:r>
        <w:rPr>
          <w:rFonts w:ascii="Arial" w:cs="Arial" w:eastAsia="Arial" w:hAnsi="Arial"/>
          <w:b/>
          <w:bCs/>
          <w:color w:val="1A73E8"/>
          <w:sz w:val="24"/>
          <w:szCs w:val="24"/>
        </w:rPr>
        <w:t xml:space="preserve">9.2 Termination for Convenience</w:t>
      </w:r>
    </w:p>
    <w:p>
      <w:pPr>
        <w:spacing w:after="160"/>
        <w:jc w:val="left"/>
      </w:pPr>
      <w:r>
        <w:rPr>
          <w:rFonts w:ascii="Arial" w:cs="Arial" w:eastAsia="Arial" w:hAnsi="Arial"/>
          <w:color w:val="000000"/>
          <w:sz w:val="22"/>
          <w:szCs w:val="22"/>
        </w:rPr>
        <w:t xml:space="preserve">Either party may terminate this Agreement at any time by giving thirty (30) days' written notice to the other party.</w:t>
      </w:r>
    </w:p>
    <w:p>
      <w:pPr>
        <w:pStyle w:val="Heading2"/>
        <w:spacing w:after="120" w:before="240"/>
      </w:pPr>
      <w:r>
        <w:rPr>
          <w:rFonts w:ascii="Arial" w:cs="Arial" w:eastAsia="Arial" w:hAnsi="Arial"/>
          <w:b/>
          <w:bCs/>
          <w:color w:val="1A73E8"/>
          <w:sz w:val="24"/>
          <w:szCs w:val="24"/>
        </w:rPr>
        <w:t xml:space="preserve">9.3 Termination for Cause</w:t>
      </w:r>
    </w:p>
    <w:p>
      <w:pPr>
        <w:spacing w:after="160"/>
        <w:jc w:val="left"/>
      </w:pPr>
      <w:r>
        <w:rPr>
          <w:rFonts w:ascii="Arial" w:cs="Arial" w:eastAsia="Arial" w:hAnsi="Arial"/>
          <w:color w:val="000000"/>
          <w:sz w:val="22"/>
          <w:szCs w:val="22"/>
        </w:rPr>
        <w:t xml:space="preserve">The Company may terminate this Agreement immediately if the Advisor: materially breaches any provision of this Agreement; fails to fulfil minimum commitments for two (2) consecutive quarters without reasonable justification; or engages in conduct that is harmful to the Company's reputation or business interests.</w:t>
      </w:r>
    </w:p>
    <w:p>
      <w:pPr>
        <w:pStyle w:val="Heading2"/>
        <w:spacing w:after="120" w:before="240"/>
      </w:pPr>
      <w:r>
        <w:rPr>
          <w:rFonts w:ascii="Arial" w:cs="Arial" w:eastAsia="Arial" w:hAnsi="Arial"/>
          <w:b/>
          <w:bCs/>
          <w:color w:val="1A73E8"/>
          <w:sz w:val="24"/>
          <w:szCs w:val="24"/>
        </w:rPr>
        <w:t xml:space="preserve">9.4 Effect of Termination</w:t>
      </w:r>
    </w:p>
    <w:p>
      <w:pPr>
        <w:spacing w:after="160"/>
        <w:jc w:val="left"/>
      </w:pPr>
      <w:r>
        <w:rPr>
          <w:rFonts w:ascii="Arial" w:cs="Arial" w:eastAsia="Arial" w:hAnsi="Arial"/>
          <w:color w:val="000000"/>
          <w:sz w:val="22"/>
          <w:szCs w:val="22"/>
        </w:rPr>
        <w:t xml:space="preserve">Upon termination, unvested equity is forfeited. Vested equity is retained subject to transfer restrictions. Obligations of confidentiality and non-compete survive termination.</w:t>
      </w:r>
    </w:p>
    <w:p>
      <w:pPr>
        <w:pStyle w:val="Heading1"/>
        <w:spacing w:after="160" w:before="360"/>
      </w:pPr>
      <w:r>
        <w:rPr>
          <w:rFonts w:ascii="Arial" w:cs="Arial" w:eastAsia="Arial" w:hAnsi="Arial"/>
          <w:b/>
          <w:bCs/>
          <w:color w:val="0A3D62"/>
          <w:sz w:val="28"/>
          <w:szCs w:val="28"/>
        </w:rPr>
        <w:t xml:space="preserve">10. REPRESENTATIONS AND WARRANTIES</w:t>
      </w:r>
    </w:p>
    <w:p>
      <w:pPr>
        <w:spacing w:after="160"/>
        <w:jc w:val="left"/>
      </w:pPr>
      <w:r>
        <w:rPr>
          <w:rFonts w:ascii="Arial" w:cs="Arial" w:eastAsia="Arial" w:hAnsi="Arial"/>
          <w:color w:val="000000"/>
          <w:sz w:val="22"/>
          <w:szCs w:val="22"/>
        </w:rPr>
        <w:t xml:space="preserve">The Advisor represents and warrants that:</w:t>
      </w:r>
    </w:p>
    <w:p>
      <w:pPr>
        <w:pStyle w:val="ListParagraph"/>
        <w:numPr>
          <w:ilvl w:val="0"/>
          <w:numId w:val="3"/>
        </w:numPr>
        <w:spacing w:after="120"/>
      </w:pPr>
      <w:r>
        <w:rPr>
          <w:rFonts w:ascii="Arial" w:cs="Arial" w:eastAsia="Arial" w:hAnsi="Arial"/>
          <w:color w:val="000000"/>
          <w:sz w:val="22"/>
          <w:szCs w:val="22"/>
        </w:rPr>
        <w:t xml:space="preserve">They have the full right and authority to enter into this Agreement.</w:t>
      </w:r>
    </w:p>
    <w:p>
      <w:pPr>
        <w:pStyle w:val="ListParagraph"/>
        <w:numPr>
          <w:ilvl w:val="0"/>
          <w:numId w:val="3"/>
        </w:numPr>
        <w:spacing w:after="120"/>
      </w:pPr>
      <w:r>
        <w:rPr>
          <w:rFonts w:ascii="Arial" w:cs="Arial" w:eastAsia="Arial" w:hAnsi="Arial"/>
          <w:color w:val="000000"/>
          <w:sz w:val="22"/>
          <w:szCs w:val="22"/>
        </w:rPr>
        <w:t xml:space="preserve">Their engagement with the Company does not conflict with any existing obligations to third parties.</w:t>
      </w:r>
    </w:p>
    <w:p>
      <w:pPr>
        <w:pStyle w:val="ListParagraph"/>
        <w:numPr>
          <w:ilvl w:val="0"/>
          <w:numId w:val="3"/>
        </w:numPr>
        <w:spacing w:after="120"/>
      </w:pPr>
      <w:r>
        <w:rPr>
          <w:rFonts w:ascii="Arial" w:cs="Arial" w:eastAsia="Arial" w:hAnsi="Arial"/>
          <w:color w:val="000000"/>
          <w:sz w:val="22"/>
          <w:szCs w:val="22"/>
        </w:rPr>
        <w:t xml:space="preserve">They will provide services with reasonable skill and care.</w:t>
      </w:r>
    </w:p>
    <w:p>
      <w:pPr>
        <w:pStyle w:val="ListParagraph"/>
        <w:numPr>
          <w:ilvl w:val="0"/>
          <w:numId w:val="3"/>
        </w:numPr>
        <w:spacing w:after="120"/>
      </w:pPr>
      <w:r>
        <w:rPr>
          <w:rFonts w:ascii="Arial" w:cs="Arial" w:eastAsia="Arial" w:hAnsi="Arial"/>
          <w:color w:val="000000"/>
          <w:sz w:val="22"/>
          <w:szCs w:val="22"/>
        </w:rPr>
        <w:t xml:space="preserve">They will promptly disclose any change in circumstances that creates a conflict of interest.</w:t>
      </w:r>
    </w:p>
    <w:p>
      <w:pPr>
        <w:pStyle w:val="Heading1"/>
        <w:spacing w:after="160" w:before="360"/>
      </w:pPr>
      <w:r>
        <w:rPr>
          <w:rFonts w:ascii="Arial" w:cs="Arial" w:eastAsia="Arial" w:hAnsi="Arial"/>
          <w:b/>
          <w:bCs/>
          <w:color w:val="0A3D62"/>
          <w:sz w:val="28"/>
          <w:szCs w:val="28"/>
        </w:rPr>
        <w:t xml:space="preserve">11. GOVERNING LAW</w:t>
      </w:r>
    </w:p>
    <w:p>
      <w:pPr>
        <w:spacing w:after="160"/>
        <w:jc w:val="left"/>
      </w:pPr>
      <w:r>
        <w:rPr>
          <w:rFonts w:ascii="Arial" w:cs="Arial" w:eastAsia="Arial" w:hAnsi="Arial"/>
          <w:color w:val="000000"/>
          <w:sz w:val="22"/>
          <w:szCs w:val="22"/>
        </w:rPr>
        <w:t xml:space="preserve">This Agreement is governed by the laws of the Federal Republic of Nigeria. Any disputes shall be resolved first by negotiation, then by mediation, and if necessary, by binding arbitration in Lagos.</w:t>
      </w:r>
    </w:p>
    <w:p>
      <w:pPr>
        <w:pStyle w:val="Heading1"/>
        <w:spacing w:after="160" w:before="360"/>
      </w:pPr>
      <w:r>
        <w:rPr>
          <w:rFonts w:ascii="Arial" w:cs="Arial" w:eastAsia="Arial" w:hAnsi="Arial"/>
          <w:b/>
          <w:bCs/>
          <w:color w:val="0A3D62"/>
          <w:sz w:val="28"/>
          <w:szCs w:val="28"/>
        </w:rPr>
        <w:t xml:space="preserve">12. ENTIRE AGREEMENT</w:t>
      </w:r>
    </w:p>
    <w:p>
      <w:pPr>
        <w:spacing w:after="160"/>
        <w:jc w:val="left"/>
      </w:pPr>
      <w:r>
        <w:rPr>
          <w:rFonts w:ascii="Arial" w:cs="Arial" w:eastAsia="Arial" w:hAnsi="Arial"/>
          <w:color w:val="000000"/>
          <w:sz w:val="22"/>
          <w:szCs w:val="22"/>
        </w:rPr>
        <w:t xml:space="preserve">This Agreement constitutes the entire understanding between the parties regarding the advisory relationship and supersedes all prior oral or written discussions. It may only be amended by written agreement signed by both parties.</w:t>
      </w:r>
    </w:p>
    <w:p>
      <w:pPr>
        <w:pBdr>
          <w:bottom w:val="single" w:color="1A73E8" w:sz="4" w:space="1"/>
        </w:pBdr>
        <w:spacing w:after="240" w:before="240"/>
      </w:pPr>
      <w:r>
        <w:t xml:space="preserve"/>
      </w:r>
    </w:p>
    <w:p>
      <w:pPr>
        <w:pStyle w:val="Heading1"/>
        <w:spacing w:after="160" w:before="360"/>
      </w:pPr>
      <w:r>
        <w:rPr>
          <w:rFonts w:ascii="Arial" w:cs="Arial" w:eastAsia="Arial" w:hAnsi="Arial"/>
          <w:b/>
          <w:bCs/>
          <w:color w:val="0A3D62"/>
          <w:sz w:val="28"/>
          <w:szCs w:val="28"/>
        </w:rPr>
        <w:t xml:space="preserve">EXECUTION</w:t>
      </w:r>
    </w:p>
    <w:p>
      <w:pPr>
        <w:spacing w:after="160"/>
        <w:jc w:val="left"/>
      </w:pPr>
      <w:r>
        <w:rPr>
          <w:rFonts w:ascii="Arial" w:cs="Arial" w:eastAsia="Arial" w:hAnsi="Arial"/>
          <w:color w:val="000000"/>
          <w:sz w:val="22"/>
          <w:szCs w:val="22"/>
        </w:rPr>
        <w:t xml:space="preserve">IN WITNESS WHEREOF, the parties have executed this Advisor Agreement as of the date first written above.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FOR MEDIBANK NEXUS LIMITED</w:t>
            </w:r>
          </w:p>
          <w:p>
            <w:pPr>
              <w:spacing w:after="480"/>
            </w:pPr>
            <w:r>
              <w:rPr>
                <w:rFonts w:ascii="Arial" w:cs="Arial" w:eastAsia="Arial" w:hAnsi="Arial"/>
                <w:color w:val="000000"/>
                <w:sz w:val="22"/>
                <w:szCs w:val="22"/>
              </w:rPr>
              <w:t xml:space="preserve">The Company</w:t>
            </w:r>
          </w:p>
          <w:p>
            <w:r>
              <w:rPr>
                <w:rFonts w:ascii="Arial" w:cs="Arial" w:eastAsia="Arial" w:hAnsi="Arial"/>
                <w:sz w:val="22"/>
                <w:szCs w:val="22"/>
              </w:rPr>
              <w:t xml:space="preserve">____________________________________________</w:t>
            </w:r>
          </w:p>
          <w:p>
            <w:pPr>
              <w:spacing w:after="60"/>
            </w:pPr>
            <w:r>
              <w:rPr>
                <w:rFonts w:ascii="Arial" w:cs="Arial" w:eastAsia="Arial" w:hAnsi="Arial"/>
                <w:b/>
                <w:bCs/>
                <w:color w:val="000000"/>
                <w:sz w:val="22"/>
                <w:szCs w:val="22"/>
              </w:rPr>
              <w:t xml:space="preserve">Joshua Redeem Ohiani Bankole</w:t>
            </w:r>
          </w:p>
          <w:p>
            <w:pPr>
              <w:spacing w:after="60"/>
            </w:pPr>
            <w:r>
              <w:rPr>
                <w:rFonts w:ascii="Arial" w:cs="Arial" w:eastAsia="Arial" w:hAnsi="Arial"/>
                <w:color w:val="000000"/>
                <w:sz w:val="22"/>
                <w:szCs w:val="22"/>
              </w:rPr>
              <w:t xml:space="preserve">Director / Chief Executive Officer</w:t>
            </w:r>
          </w:p>
          <w:p>
            <w:r>
              <w:rPr>
                <w:rFonts w:ascii="Arial" w:cs="Arial" w:eastAsia="Arial" w:hAnsi="Arial"/>
                <w:color w:val="000000"/>
                <w:sz w:val="22"/>
                <w:szCs w:val="22"/>
              </w:rPr>
              <w:t xml:space="preserve">Date: ___________________________</w:t>
            </w:r>
          </w:p>
        </w:tc>
        <w:tc>
          <w:tcPr>
            <w:tcW w:type="dxa" w:w="400"/>
            <w:tcBorders>
              <w:top w:val="none" w:color="FFFFFF" w:sz="0"/>
              <w:left w:val="none" w:color="FFFFFF" w:sz="0"/>
              <w:bottom w:val="none" w:color="FFFFFF" w:sz="0"/>
              <w:right w:val="none" w:color="FFFFFF" w:sz="0"/>
            </w:tcBorders>
          </w:tcPr>
          <w:p>
            <w:r>
              <w:t xml:space="preserve"/>
            </w:r>
          </w:p>
        </w:tc>
        <w:tc>
          <w:tcPr>
            <w:tcW w:type="dxa" w:w="4313"/>
            <w:tcBorders>
              <w:top w:val="none" w:color="FFFFFF" w:sz="0"/>
              <w:left w:val="none" w:color="FFFFFF" w:sz="0"/>
              <w:bottom w:val="none" w:color="FFFFFF" w:sz="0"/>
              <w:right w:val="none" w:color="FFFFFF" w:sz="0"/>
            </w:tcBorders>
          </w:tcPr>
          <w:p>
            <w:pPr>
              <w:spacing w:after="60" w:before="40"/>
            </w:pPr>
            <w:r>
              <w:rPr>
                <w:rFonts w:ascii="Arial" w:cs="Arial" w:eastAsia="Arial" w:hAnsi="Arial"/>
                <w:b/>
                <w:bCs/>
                <w:color w:val="000000"/>
                <w:sz w:val="22"/>
                <w:szCs w:val="22"/>
              </w:rPr>
              <w:t xml:space="preserve">ADVISOR</w:t>
            </w:r>
          </w:p>
          <w:p>
            <w:pPr>
              <w:spacing w:after="480"/>
            </w:pPr>
            <w:r>
              <w:rPr>
                <w:rFonts w:ascii="Arial" w:cs="Arial" w:eastAsia="Arial" w:hAnsi="Arial"/>
                <w:i/>
                <w:iCs/>
                <w:color w:val="CC0000"/>
                <w:sz w:val="22"/>
                <w:szCs w:val="22"/>
              </w:rPr>
              <w:t xml:space="preserve">[EDIT: Advisor's Full Name]</w:t>
            </w:r>
          </w:p>
          <w:p>
            <w:r>
              <w:rPr>
                <w:rFonts w:ascii="Arial" w:cs="Arial" w:eastAsia="Arial" w:hAnsi="Arial"/>
                <w:sz w:val="22"/>
                <w:szCs w:val="22"/>
              </w:rPr>
              <w:t xml:space="preserve">____________________________________________</w:t>
            </w:r>
          </w:p>
          <w:p>
            <w:pPr>
              <w:spacing w:after="60"/>
            </w:pPr>
            <w:r>
              <w:rPr>
                <w:rFonts w:ascii="Arial" w:cs="Arial" w:eastAsia="Arial" w:hAnsi="Arial"/>
                <w:i/>
                <w:iCs/>
                <w:color w:val="CC0000"/>
                <w:sz w:val="22"/>
                <w:szCs w:val="22"/>
              </w:rPr>
              <w:t xml:space="preserve">[EDIT: Advisor's Full Name]</w:t>
            </w:r>
          </w:p>
          <w:p>
            <w:pPr>
              <w:spacing w:after="60"/>
            </w:pPr>
            <w:r>
              <w:rPr>
                <w:rFonts w:ascii="Arial" w:cs="Arial" w:eastAsia="Arial" w:hAnsi="Arial"/>
                <w:i/>
                <w:iCs/>
                <w:color w:val="CC0000"/>
                <w:sz w:val="22"/>
                <w:szCs w:val="22"/>
              </w:rPr>
              <w:t xml:space="preserve">[EDIT: Advisor's Title / Role]</w:t>
            </w:r>
          </w:p>
          <w:p>
            <w:r>
              <w:rPr>
                <w:rFonts w:ascii="Arial" w:cs="Arial" w:eastAsia="Arial" w:hAnsi="Arial"/>
                <w:color w:val="000000"/>
                <w:sz w:val="22"/>
                <w:szCs w:val="22"/>
              </w:rPr>
              <w:t xml:space="preserve">Date: ___________________________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6"/>
      </w:pBdr>
      <w:tabs>
        <w:tab w:val="right" w:pos="9026"/>
      </w:tabs>
      <w:spacing w:before="120"/>
    </w:pPr>
    <w:r>
      <w:rPr>
        <w:rFonts w:ascii="Arial" w:cs="Arial" w:eastAsia="Arial" w:hAnsi="Arial"/>
        <w:color w:val="555555"/>
        <w:sz w:val="18"/>
        <w:szCs w:val="18"/>
      </w:rPr>
      <w:t xml:space="preserve">© 2026 MediBank Nexus Limited.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6"/>
      </w:pBdr>
      <w:spacing w:after="120"/>
    </w:pPr>
    <w:r>
      <w:rPr>
        <w:rFonts w:ascii="Arial" w:cs="Arial" w:eastAsia="Arial" w:hAnsi="Arial"/>
        <w:b/>
        <w:bCs/>
        <w:color w:val="0A3D62"/>
        <w:sz w:val="20"/>
        <w:szCs w:val="20"/>
      </w:rPr>
      <w:t xml:space="preserve">MediBank Nexus Limited</w:t>
    </w:r>
    <w:r>
      <w:rPr>
        <w:rFonts w:ascii="Arial" w:cs="Arial" w:eastAsia="Arial" w:hAnsi="Arial"/>
        <w:color w:val="555555"/>
        <w:sz w:val="20"/>
        <w:szCs w:val="20"/>
      </w:rPr>
      <w:t xml:space="preserve">   |   Advisor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6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2026-05-29T22:00:07.791Z</dcterms:created>
  <dcterms:modified xsi:type="dcterms:W3CDTF">2026-05-29T22:00:07.792Z</dcterms:modified>
</cp:coreProperties>
</file>

<file path=docProps/custom.xml><?xml version="1.0" encoding="utf-8"?>
<Properties xmlns="http://schemas.openxmlformats.org/officeDocument/2006/custom-properties" xmlns:vt="http://schemas.openxmlformats.org/officeDocument/2006/docPropsVTypes"/>
</file>