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2"/>
          <w:szCs w:val="32"/>
        </w:rPr>
        <w:t xml:space="preserve">LEGAL SERVICES ENGAGEMENT LETTER</w:t>
      </w:r>
    </w:p>
    <w:p>
      <w:pPr>
        <w:spacing w:after="80"/>
        <w:jc w:val="center"/>
      </w:pPr>
      <w:r>
        <w:rPr>
          <w:rFonts w:ascii="Arial" w:cs="Arial" w:eastAsia="Arial" w:hAnsi="Arial"/>
          <w:i/>
          <w:iCs/>
          <w:color w:val="555555"/>
          <w:sz w:val="24"/>
          <w:szCs w:val="24"/>
        </w:rPr>
        <w:t xml:space="preserve">Deferred Fee Arrangement</w:t>
      </w:r>
    </w:p>
    <w:p>
      <w:pPr>
        <w:spacing w:after="480"/>
        <w:jc w:val="center"/>
      </w:pPr>
      <w:r>
        <w:rPr>
          <w:rFonts w:ascii="Arial" w:cs="Arial" w:eastAsia="Arial" w:hAnsi="Arial"/>
          <w:i/>
          <w:iCs/>
          <w:color w:val="555555"/>
          <w:sz w:val="22"/>
          <w:szCs w:val="22"/>
        </w:rPr>
        <w:t xml:space="preserve">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Client (Company)</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Client Representative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Joshua Redeem Ohiani Bankole, CEO</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Client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Registered business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Client Email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Your email address]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Legal Counsel / Firm Name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Lawyer's full name or firm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Counsel Address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Lawyer's office address]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Counsel Email</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Lawyer's 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Counsel Bar Number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Nigerian Bar Association number]</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Engagement Date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Date of this letter]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Payment Structure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Deferred Fee — payable on first revenue milestone or funding event</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Estimated Total Fees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NGN 350,000 — to be agreed per scope below]</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PURPOSE OF THIS LETTER</w:t>
      </w:r>
    </w:p>
    <w:p>
      <w:pPr>
        <w:spacing w:after="160"/>
        <w:jc w:val="both"/>
      </w:pPr>
      <w:r>
        <w:rPr>
          <w:rFonts w:ascii="Arial" w:cs="Arial" w:eastAsia="Arial" w:hAnsi="Arial"/>
          <w:color w:val="000000"/>
          <w:sz w:val="22"/>
          <w:szCs w:val="22"/>
        </w:rPr>
        <w:t xml:space="preserve">This Engagement Letter ("Letter") sets out the terms on which MediBank Nexus Limited ("Company") engages [EDIT: Lawyer's name / firm] ("Counsel") to provide the legal services described below in connection with the establishment and commercialisation of the Company's hospital management software business. Both parties agree to be bound by the terms of this Letter from the Engagement Date.</w:t>
      </w:r>
    </w:p>
    <w:p>
      <w:pPr>
        <w:pStyle w:val="Heading1"/>
        <w:spacing w:after="160" w:before="360"/>
      </w:pPr>
      <w:r>
        <w:rPr>
          <w:rFonts w:ascii="Arial" w:cs="Arial" w:eastAsia="Arial" w:hAnsi="Arial"/>
          <w:b/>
          <w:bCs/>
          <w:color w:val="0A3D62"/>
          <w:sz w:val="28"/>
          <w:szCs w:val="28"/>
        </w:rPr>
        <w:t xml:space="preserve">2. SCOPE OF LEGAL SERVICES</w:t>
      </w:r>
    </w:p>
    <w:p>
      <w:pPr>
        <w:spacing w:after="160"/>
        <w:jc w:val="left"/>
      </w:pPr>
      <w:r>
        <w:rPr>
          <w:rFonts w:ascii="Arial" w:cs="Arial" w:eastAsia="Arial" w:hAnsi="Arial"/>
          <w:color w:val="000000"/>
          <w:sz w:val="22"/>
          <w:szCs w:val="22"/>
        </w:rPr>
        <w:t xml:space="preserve">Counsel is engaged to draft, review, and advise on the following documents and matters: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226"/>
      </w:tblGrid>
      <w:tr>
        <w:tc>
          <w:tcPr>
            <w:tcW w:type="dxa" w:w="300"/>
            <w:tcBorders>
              <w:top w:val="single" w:color="CCCCCC" w:sz="1"/>
              <w:left w:val="single" w:color="CCCCCC" w:sz="1"/>
              <w:bottom w:val="single" w:color="CCCCCC" w:sz="1"/>
              <w:right w:val="single" w:color="CCCCCC" w:sz="1"/>
            </w:tcBorders>
            <w:shd w:fill="0A3D62" w:val="clear"/>
            <w:tcMar>
              <w:top w:type="dxa" w:w="80"/>
              <w:left w:type="dxa" w:w="100"/>
              <w:bottom w:type="dxa" w:w="80"/>
              <w:right w:type="dxa" w:w="100"/>
            </w:tcMar>
          </w:tcPr>
          <w:p>
            <w:r>
              <w:rPr>
                <w:rFonts w:ascii="Arial" w:cs="Arial" w:eastAsia="Arial" w:hAnsi="Arial"/>
                <w:b/>
                <w:bCs/>
                <w:color w:val="FFFFFF"/>
                <w:sz w:val="22"/>
                <w:szCs w:val="22"/>
              </w:rPr>
              <w:t xml:space="preserve">#</w:t>
            </w:r>
          </w:p>
        </w:tc>
        <w:tc>
          <w:tcPr>
            <w:tcW w:type="dxa" w:w="4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Document / Matter</w:t>
            </w:r>
          </w:p>
        </w:tc>
        <w:tc>
          <w:tcPr>
            <w:tcW w:type="dxa" w:w="2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Agreed Fee (NGN)</w:t>
            </w:r>
          </w:p>
        </w:tc>
        <w:tc>
          <w:tcPr>
            <w:tcW w:type="dxa" w:w="2226"/>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00"/>
              <w:bottom w:type="dxa" w:w="80"/>
              <w:right w:type="dxa" w:w="100"/>
            </w:tcMar>
          </w:tcPr>
          <w:p>
            <w:r>
              <w:rPr>
                <w:rFonts w:ascii="Arial" w:cs="Arial" w:eastAsia="Arial" w:hAnsi="Arial"/>
                <w:color w:val="000000"/>
                <w:sz w:val="22"/>
                <w:szCs w:val="22"/>
              </w:rPr>
              <w:t xml:space="preserve">1</w:t>
            </w:r>
          </w:p>
        </w:tc>
        <w:tc>
          <w:tcPr>
            <w:tcW w:type="dxa" w:w="4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Founders' Agreement (review and finalise)</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30,000]</w:t>
            </w:r>
          </w:p>
        </w:tc>
        <w:tc>
          <w:tcPr>
            <w:tcW w:type="dxa" w:w="2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2"/>
                <w:szCs w:val="22"/>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Vesting Agreement for CTO / Developer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25,000]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00"/>
              <w:bottom w:type="dxa" w:w="80"/>
              <w:right w:type="dxa" w:w="100"/>
            </w:tcMar>
          </w:tcPr>
          <w:p>
            <w:r>
              <w:rPr>
                <w:rFonts w:ascii="Arial" w:cs="Arial" w:eastAsia="Arial" w:hAnsi="Arial"/>
                <w:color w:val="000000"/>
                <w:sz w:val="22"/>
                <w:szCs w:val="22"/>
              </w:rPr>
              <w:t xml:space="preserve">3</w:t>
            </w:r>
          </w:p>
        </w:tc>
        <w:tc>
          <w:tcPr>
            <w:tcW w:type="dxa" w:w="4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Intellectual Property Assignment Agreements (x2)</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40,000]</w:t>
            </w:r>
          </w:p>
        </w:tc>
        <w:tc>
          <w:tcPr>
            <w:tcW w:type="dxa" w:w="2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2"/>
                <w:szCs w:val="22"/>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Non-Disclosure Agreement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20,000]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00"/>
              <w:bottom w:type="dxa" w:w="80"/>
              <w:right w:type="dxa" w:w="100"/>
            </w:tcMar>
          </w:tcPr>
          <w:p>
            <w:r>
              <w:rPr>
                <w:rFonts w:ascii="Arial" w:cs="Arial" w:eastAsia="Arial" w:hAnsi="Arial"/>
                <w:color w:val="000000"/>
                <w:sz w:val="22"/>
                <w:szCs w:val="22"/>
              </w:rPr>
              <w:t xml:space="preserve">5</w:t>
            </w:r>
          </w:p>
        </w:tc>
        <w:tc>
          <w:tcPr>
            <w:tcW w:type="dxa" w:w="4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SaaS Agreement (hospital client contract)</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60,000]</w:t>
            </w:r>
          </w:p>
        </w:tc>
        <w:tc>
          <w:tcPr>
            <w:tcW w:type="dxa" w:w="2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2"/>
                <w:szCs w:val="22"/>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Data Processing Agreement (NDPR-compliant)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50,000]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00"/>
              <w:bottom w:type="dxa" w:w="80"/>
              <w:right w:type="dxa" w:w="100"/>
            </w:tcMar>
          </w:tcPr>
          <w:p>
            <w:r>
              <w:rPr>
                <w:rFonts w:ascii="Arial" w:cs="Arial" w:eastAsia="Arial" w:hAnsi="Arial"/>
                <w:color w:val="000000"/>
                <w:sz w:val="22"/>
                <w:szCs w:val="22"/>
              </w:rPr>
              <w:t xml:space="preserve">7</w:t>
            </w:r>
          </w:p>
        </w:tc>
        <w:tc>
          <w:tcPr>
            <w:tcW w:type="dxa" w:w="4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Advisor Agreements (template for up to 5 advisors)</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30,000]</w:t>
            </w:r>
          </w:p>
        </w:tc>
        <w:tc>
          <w:tcPr>
            <w:tcW w:type="dxa" w:w="2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2"/>
                <w:szCs w:val="22"/>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Privacy Policy (NDPR-compliant, for website and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40,000]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00"/>
              <w:bottom w:type="dxa" w:w="80"/>
              <w:right w:type="dxa" w:w="100"/>
            </w:tcMar>
          </w:tcPr>
          <w:p>
            <w:r>
              <w:rPr>
                <w:rFonts w:ascii="Arial" w:cs="Arial" w:eastAsia="Arial" w:hAnsi="Arial"/>
                <w:color w:val="000000"/>
                <w:sz w:val="22"/>
                <w:szCs w:val="22"/>
              </w:rPr>
              <w:t xml:space="preserve">9</w:t>
            </w:r>
          </w:p>
        </w:tc>
        <w:tc>
          <w:tcPr>
            <w:tcW w:type="dxa" w:w="4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NDPR registration advice and NITDA filing support</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30,000]</w:t>
            </w:r>
          </w:p>
        </w:tc>
        <w:tc>
          <w:tcPr>
            <w:tcW w:type="dxa" w:w="2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2"/>
                <w:szCs w:val="22"/>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General legal advisory (up to [EDIT: X]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25,000]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Deferred</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00"/>
              <w:bottom w:type="dxa" w:w="80"/>
              <w:right w:type="dxa" w:w="100"/>
            </w:tcMar>
          </w:tcPr>
          <w:p>
            <w:r>
              <w:rPr>
                <w:rFonts w:ascii="Arial" w:cs="Arial" w:eastAsia="Arial" w:hAnsi="Arial"/>
                <w:color w:val="000000"/>
                <w:sz w:val="22"/>
                <w:szCs w:val="22"/>
              </w:rPr>
              <w:t xml:space="preserve"/>
            </w:r>
          </w:p>
        </w:tc>
        <w:tc>
          <w:tcPr>
            <w:tcW w:type="dxa" w:w="4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TOTAL ESTIMATED FEES</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Sum of above]</w:t>
            </w:r>
          </w:p>
        </w:tc>
        <w:tc>
          <w:tcPr>
            <w:tcW w:type="dxa" w:w="2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bl>
    <w:p>
      <w:pPr>
        <w:spacing w:after="80"/>
      </w:pPr>
      <w:r>
        <w:t xml:space="preserve"/>
      </w:r>
    </w:p>
    <w:p>
      <w:pPr>
        <w:spacing w:after="160"/>
        <w:jc w:val="left"/>
      </w:pPr>
      <w:r>
        <w:rPr>
          <w:rFonts w:ascii="Arial" w:cs="Arial" w:eastAsia="Arial" w:hAnsi="Arial"/>
          <w:color w:val="000000"/>
          <w:sz w:val="22"/>
          <w:szCs w:val="22"/>
        </w:rPr>
        <w:t xml:space="preserve">[EDIT: Note to Joshua — agree the specific fees for each item with your lawyer before signing. The figures above are placeholders. A good commercial lawyer in Lagos should charge between NGN 15,000 and NGN 60,000 per document depending on complexity.]</w:t>
      </w:r>
    </w:p>
    <w:p>
      <w:pPr>
        <w:pStyle w:val="Heading1"/>
        <w:spacing w:after="160" w:before="360"/>
      </w:pPr>
      <w:r>
        <w:rPr>
          <w:rFonts w:ascii="Arial" w:cs="Arial" w:eastAsia="Arial" w:hAnsi="Arial"/>
          <w:b/>
          <w:bCs/>
          <w:color w:val="0A3D62"/>
          <w:sz w:val="28"/>
          <w:szCs w:val="28"/>
        </w:rPr>
        <w:t xml:space="preserve">3. DEFERRED FEE ARRANGEMENT</w:t>
      </w:r>
    </w:p>
    <w:p>
      <w:pPr>
        <w:pStyle w:val="Heading2"/>
        <w:spacing w:after="120" w:before="240"/>
      </w:pPr>
      <w:r>
        <w:rPr>
          <w:rFonts w:ascii="Arial" w:cs="Arial" w:eastAsia="Arial" w:hAnsi="Arial"/>
          <w:b/>
          <w:bCs/>
          <w:color w:val="1A73E8"/>
          <w:sz w:val="24"/>
          <w:szCs w:val="24"/>
        </w:rPr>
        <w:t xml:space="preserve">3.1 Agreement to Defer</w:t>
      </w:r>
    </w:p>
    <w:p>
      <w:pPr>
        <w:spacing w:after="160"/>
        <w:jc w:val="left"/>
      </w:pPr>
      <w:r>
        <w:rPr>
          <w:rFonts w:ascii="Arial" w:cs="Arial" w:eastAsia="Arial" w:hAnsi="Arial"/>
          <w:color w:val="000000"/>
          <w:sz w:val="22"/>
          <w:szCs w:val="22"/>
        </w:rPr>
        <w:t xml:space="preserve">The parties agree that all fees listed in Section 2 shall be deferred and shall not be payable until the occurrence of a Payment Trigger Event as defined in Section 3.2. No interest shall accrue on the deferred fees during the deferral period, provided that a Payment Trigger Event occurs within eighteen (18) months of the Engagement Date.</w:t>
      </w:r>
    </w:p>
    <w:p>
      <w:pPr>
        <w:pStyle w:val="Heading2"/>
        <w:spacing w:after="120" w:before="240"/>
      </w:pPr>
      <w:r>
        <w:rPr>
          <w:rFonts w:ascii="Arial" w:cs="Arial" w:eastAsia="Arial" w:hAnsi="Arial"/>
          <w:b/>
          <w:bCs/>
          <w:color w:val="1A73E8"/>
          <w:sz w:val="24"/>
          <w:szCs w:val="24"/>
        </w:rPr>
        <w:t xml:space="preserve">3.2 Payment Trigger Events</w:t>
      </w:r>
    </w:p>
    <w:p>
      <w:pPr>
        <w:spacing w:after="160"/>
        <w:jc w:val="left"/>
      </w:pPr>
      <w:r>
        <w:rPr>
          <w:rFonts w:ascii="Arial" w:cs="Arial" w:eastAsia="Arial" w:hAnsi="Arial"/>
          <w:color w:val="000000"/>
          <w:sz w:val="22"/>
          <w:szCs w:val="22"/>
        </w:rPr>
        <w:t xml:space="preserve">Deferred fees shall become due and payable within thirty (30) days of the earliest of the following events ("Payment Trigger Event"):</w:t>
      </w:r>
    </w:p>
    <w:p>
      <w:pPr>
        <w:pStyle w:val="ListParagraph"/>
        <w:numPr>
          <w:ilvl w:val="0"/>
          <w:numId w:val="2"/>
        </w:numPr>
        <w:spacing w:after="120"/>
      </w:pPr>
      <w:r>
        <w:rPr>
          <w:rFonts w:ascii="Arial" w:cs="Arial" w:eastAsia="Arial" w:hAnsi="Arial"/>
          <w:color w:val="000000"/>
          <w:sz w:val="22"/>
          <w:szCs w:val="22"/>
        </w:rPr>
        <w:t xml:space="preserve">The Company receives its first revenue payment from a paying hospital client.</w:t>
      </w:r>
    </w:p>
    <w:p>
      <w:pPr>
        <w:pStyle w:val="ListParagraph"/>
        <w:numPr>
          <w:ilvl w:val="0"/>
          <w:numId w:val="2"/>
        </w:numPr>
        <w:spacing w:after="120"/>
      </w:pPr>
      <w:r>
        <w:rPr>
          <w:rFonts w:ascii="Arial" w:cs="Arial" w:eastAsia="Arial" w:hAnsi="Arial"/>
          <w:color w:val="000000"/>
          <w:sz w:val="22"/>
          <w:szCs w:val="22"/>
        </w:rPr>
        <w:t xml:space="preserve">The Company raises external investment (equity or debt) of NGN [EDIT: e.g. 5,000,000] or more.</w:t>
      </w:r>
    </w:p>
    <w:p>
      <w:pPr>
        <w:pStyle w:val="ListParagraph"/>
        <w:numPr>
          <w:ilvl w:val="0"/>
          <w:numId w:val="2"/>
        </w:numPr>
        <w:spacing w:after="120"/>
      </w:pPr>
      <w:r>
        <w:rPr>
          <w:rFonts w:ascii="Arial" w:cs="Arial" w:eastAsia="Arial" w:hAnsi="Arial"/>
          <w:color w:val="000000"/>
          <w:sz w:val="22"/>
          <w:szCs w:val="22"/>
        </w:rPr>
        <w:t xml:space="preserve">Eighteen (18) months from the Engagement Date, regardless of revenue or investment status.</w:t>
      </w:r>
    </w:p>
    <w:p>
      <w:pPr>
        <w:pStyle w:val="ListParagraph"/>
        <w:numPr>
          <w:ilvl w:val="0"/>
          <w:numId w:val="2"/>
        </w:numPr>
        <w:spacing w:after="120"/>
      </w:pPr>
      <w:r>
        <w:rPr>
          <w:rFonts w:ascii="Arial" w:cs="Arial" w:eastAsia="Arial" w:hAnsi="Arial"/>
          <w:color w:val="000000"/>
          <w:sz w:val="22"/>
          <w:szCs w:val="22"/>
        </w:rPr>
        <w:t xml:space="preserve">The Company is acquired by or merged with any third party.</w:t>
      </w:r>
    </w:p>
    <w:p>
      <w:pPr>
        <w:spacing w:after="80"/>
      </w:pPr>
      <w:r>
        <w:t xml:space="preserve"/>
      </w:r>
    </w:p>
    <w:p>
      <w:pPr>
        <w:pStyle w:val="Heading2"/>
        <w:spacing w:after="120" w:before="240"/>
      </w:pPr>
      <w:r>
        <w:rPr>
          <w:rFonts w:ascii="Arial" w:cs="Arial" w:eastAsia="Arial" w:hAnsi="Arial"/>
          <w:b/>
          <w:bCs/>
          <w:color w:val="1A73E8"/>
          <w:sz w:val="24"/>
          <w:szCs w:val="24"/>
        </w:rPr>
        <w:t xml:space="preserve">3.3 Interest After Trigger</w:t>
      </w:r>
    </w:p>
    <w:p>
      <w:pPr>
        <w:spacing w:after="160"/>
        <w:jc w:val="left"/>
      </w:pPr>
      <w:r>
        <w:rPr>
          <w:rFonts w:ascii="Arial" w:cs="Arial" w:eastAsia="Arial" w:hAnsi="Arial"/>
          <w:color w:val="000000"/>
          <w:sz w:val="22"/>
          <w:szCs w:val="22"/>
        </w:rPr>
        <w:t xml:space="preserve">If any deferred fee remains unpaid thirty (30) days after a Payment Trigger Event, interest shall accrue on the outstanding balance at the rate of two percent (2%) per month until paid in full.</w:t>
      </w:r>
    </w:p>
    <w:p>
      <w:pPr>
        <w:pStyle w:val="Heading2"/>
        <w:spacing w:after="120" w:before="240"/>
      </w:pPr>
      <w:r>
        <w:rPr>
          <w:rFonts w:ascii="Arial" w:cs="Arial" w:eastAsia="Arial" w:hAnsi="Arial"/>
          <w:b/>
          <w:bCs/>
          <w:color w:val="1A73E8"/>
          <w:sz w:val="24"/>
          <w:szCs w:val="24"/>
        </w:rPr>
        <w:t xml:space="preserve">3.4 Invoicing</w:t>
      </w:r>
    </w:p>
    <w:p>
      <w:pPr>
        <w:spacing w:after="160"/>
        <w:jc w:val="left"/>
      </w:pPr>
      <w:r>
        <w:rPr>
          <w:rFonts w:ascii="Arial" w:cs="Arial" w:eastAsia="Arial" w:hAnsi="Arial"/>
          <w:color w:val="000000"/>
          <w:sz w:val="22"/>
          <w:szCs w:val="22"/>
        </w:rPr>
        <w:t xml:space="preserve">Counsel shall issue a formal invoice for each document completed. All invoices shall be marked "DEFERRED — Payable on Payment Trigger Event" and shall be retained by the Company. On the occurrence of a Payment Trigger Event, all outstanding invoices shall become immediately payable.</w:t>
      </w:r>
    </w:p>
    <w:p>
      <w:pPr>
        <w:pStyle w:val="Heading1"/>
        <w:spacing w:after="160" w:before="360"/>
      </w:pPr>
      <w:r>
        <w:rPr>
          <w:rFonts w:ascii="Arial" w:cs="Arial" w:eastAsia="Arial" w:hAnsi="Arial"/>
          <w:b/>
          <w:bCs/>
          <w:color w:val="0A3D62"/>
          <w:sz w:val="28"/>
          <w:szCs w:val="28"/>
        </w:rPr>
        <w:t xml:space="preserve">4. COUNSEL'S OBLIGATIONS</w:t>
      </w:r>
    </w:p>
    <w:p>
      <w:pPr>
        <w:spacing w:after="160"/>
        <w:jc w:val="left"/>
      </w:pPr>
      <w:r>
        <w:rPr>
          <w:rFonts w:ascii="Arial" w:cs="Arial" w:eastAsia="Arial" w:hAnsi="Arial"/>
          <w:color w:val="000000"/>
          <w:sz w:val="22"/>
          <w:szCs w:val="22"/>
        </w:rPr>
        <w:t xml:space="preserve">Counsel agrees to:</w:t>
      </w:r>
    </w:p>
    <w:p>
      <w:pPr>
        <w:pStyle w:val="ListParagraph"/>
        <w:numPr>
          <w:ilvl w:val="0"/>
          <w:numId w:val="3"/>
        </w:numPr>
        <w:spacing w:after="100"/>
      </w:pPr>
      <w:r>
        <w:rPr>
          <w:rFonts w:ascii="Arial" w:cs="Arial" w:eastAsia="Arial" w:hAnsi="Arial"/>
          <w:color w:val="000000"/>
          <w:sz w:val="22"/>
          <w:szCs w:val="22"/>
        </w:rPr>
        <w:t xml:space="preserve">Provide all legal services described in Section 2 with reasonable skill, care, and professional diligence.</w:t>
      </w:r>
    </w:p>
    <w:p>
      <w:pPr>
        <w:pStyle w:val="ListParagraph"/>
        <w:numPr>
          <w:ilvl w:val="0"/>
          <w:numId w:val="3"/>
        </w:numPr>
        <w:spacing w:after="100"/>
      </w:pPr>
      <w:r>
        <w:rPr>
          <w:rFonts w:ascii="Arial" w:cs="Arial" w:eastAsia="Arial" w:hAnsi="Arial"/>
          <w:color w:val="000000"/>
          <w:sz w:val="22"/>
          <w:szCs w:val="22"/>
        </w:rPr>
        <w:t xml:space="preserve">Complete each document within [EDIT: e.g. 14] business days of receiving all necessary instructions and information from the Company.</w:t>
      </w:r>
    </w:p>
    <w:p>
      <w:pPr>
        <w:pStyle w:val="ListParagraph"/>
        <w:numPr>
          <w:ilvl w:val="0"/>
          <w:numId w:val="3"/>
        </w:numPr>
        <w:spacing w:after="100"/>
      </w:pPr>
      <w:r>
        <w:rPr>
          <w:rFonts w:ascii="Arial" w:cs="Arial" w:eastAsia="Arial" w:hAnsi="Arial"/>
          <w:color w:val="000000"/>
          <w:sz w:val="22"/>
          <w:szCs w:val="22"/>
        </w:rPr>
        <w:t xml:space="preserve">Maintain strict confidentiality in respect of all Company information received in connection with this engagement.</w:t>
      </w:r>
    </w:p>
    <w:p>
      <w:pPr>
        <w:pStyle w:val="ListParagraph"/>
        <w:numPr>
          <w:ilvl w:val="0"/>
          <w:numId w:val="3"/>
        </w:numPr>
        <w:spacing w:after="100"/>
      </w:pPr>
      <w:r>
        <w:rPr>
          <w:rFonts w:ascii="Arial" w:cs="Arial" w:eastAsia="Arial" w:hAnsi="Arial"/>
          <w:color w:val="000000"/>
          <w:sz w:val="22"/>
          <w:szCs w:val="22"/>
        </w:rPr>
        <w:t xml:space="preserve">Not represent any party whose interests conflict with those of the Company without prior written disclosure and consent.</w:t>
      </w:r>
    </w:p>
    <w:p>
      <w:pPr>
        <w:pStyle w:val="ListParagraph"/>
        <w:numPr>
          <w:ilvl w:val="0"/>
          <w:numId w:val="3"/>
        </w:numPr>
        <w:spacing w:after="100"/>
      </w:pPr>
      <w:r>
        <w:rPr>
          <w:rFonts w:ascii="Arial" w:cs="Arial" w:eastAsia="Arial" w:hAnsi="Arial"/>
          <w:color w:val="000000"/>
          <w:sz w:val="22"/>
          <w:szCs w:val="22"/>
        </w:rPr>
        <w:t xml:space="preserve">Promptly notify the Company of any actual or potential conflict of interest.</w:t>
      </w:r>
    </w:p>
    <w:p>
      <w:pPr>
        <w:pStyle w:val="ListParagraph"/>
        <w:numPr>
          <w:ilvl w:val="0"/>
          <w:numId w:val="3"/>
        </w:numPr>
        <w:spacing w:after="100"/>
      </w:pPr>
      <w:r>
        <w:rPr>
          <w:rFonts w:ascii="Arial" w:cs="Arial" w:eastAsia="Arial" w:hAnsi="Arial"/>
          <w:color w:val="000000"/>
          <w:sz w:val="22"/>
          <w:szCs w:val="22"/>
        </w:rPr>
        <w:t xml:space="preserve">Provide independent legal advice that serves the Company's best interests, uninfluenced by any personal financial interest in the Company.</w:t>
      </w:r>
    </w:p>
    <w:p>
      <w:pPr>
        <w:pStyle w:val="Heading1"/>
        <w:spacing w:after="160" w:before="360"/>
      </w:pPr>
      <w:r>
        <w:rPr>
          <w:rFonts w:ascii="Arial" w:cs="Arial" w:eastAsia="Arial" w:hAnsi="Arial"/>
          <w:b/>
          <w:bCs/>
          <w:color w:val="0A3D62"/>
          <w:sz w:val="28"/>
          <w:szCs w:val="28"/>
        </w:rPr>
        <w:t xml:space="preserve">5. COMPANY'S OBLIGATIONS</w:t>
      </w:r>
    </w:p>
    <w:p>
      <w:pPr>
        <w:spacing w:after="160"/>
        <w:jc w:val="left"/>
      </w:pPr>
      <w:r>
        <w:rPr>
          <w:rFonts w:ascii="Arial" w:cs="Arial" w:eastAsia="Arial" w:hAnsi="Arial"/>
          <w:color w:val="000000"/>
          <w:sz w:val="22"/>
          <w:szCs w:val="22"/>
        </w:rPr>
        <w:t xml:space="preserve">The Company agrees to:</w:t>
      </w:r>
    </w:p>
    <w:p>
      <w:pPr>
        <w:pStyle w:val="ListParagraph"/>
        <w:numPr>
          <w:ilvl w:val="0"/>
          <w:numId w:val="3"/>
        </w:numPr>
        <w:spacing w:after="100"/>
      </w:pPr>
      <w:r>
        <w:rPr>
          <w:rFonts w:ascii="Arial" w:cs="Arial" w:eastAsia="Arial" w:hAnsi="Arial"/>
          <w:color w:val="000000"/>
          <w:sz w:val="22"/>
          <w:szCs w:val="22"/>
        </w:rPr>
        <w:t xml:space="preserve">Provide Counsel with all information and instructions reasonably necessary to perform the services.</w:t>
      </w:r>
    </w:p>
    <w:p>
      <w:pPr>
        <w:pStyle w:val="ListParagraph"/>
        <w:numPr>
          <w:ilvl w:val="0"/>
          <w:numId w:val="3"/>
        </w:numPr>
        <w:spacing w:after="100"/>
      </w:pPr>
      <w:r>
        <w:rPr>
          <w:rFonts w:ascii="Arial" w:cs="Arial" w:eastAsia="Arial" w:hAnsi="Arial"/>
          <w:color w:val="000000"/>
          <w:sz w:val="22"/>
          <w:szCs w:val="22"/>
        </w:rPr>
        <w:t xml:space="preserve">Respond to Counsel's queries within [EDIT: e.g. 5] business days.</w:t>
      </w:r>
    </w:p>
    <w:p>
      <w:pPr>
        <w:pStyle w:val="ListParagraph"/>
        <w:numPr>
          <w:ilvl w:val="0"/>
          <w:numId w:val="3"/>
        </w:numPr>
        <w:spacing w:after="100"/>
      </w:pPr>
      <w:r>
        <w:rPr>
          <w:rFonts w:ascii="Arial" w:cs="Arial" w:eastAsia="Arial" w:hAnsi="Arial"/>
          <w:color w:val="000000"/>
          <w:sz w:val="22"/>
          <w:szCs w:val="22"/>
        </w:rPr>
        <w:t xml:space="preserve">Pay all deferred fees promptly on the occurrence of a Payment Trigger Event.</w:t>
      </w:r>
    </w:p>
    <w:p>
      <w:pPr>
        <w:pStyle w:val="ListParagraph"/>
        <w:numPr>
          <w:ilvl w:val="0"/>
          <w:numId w:val="3"/>
        </w:numPr>
        <w:spacing w:after="100"/>
      </w:pPr>
      <w:r>
        <w:rPr>
          <w:rFonts w:ascii="Arial" w:cs="Arial" w:eastAsia="Arial" w:hAnsi="Arial"/>
          <w:color w:val="000000"/>
          <w:sz w:val="22"/>
          <w:szCs w:val="22"/>
        </w:rPr>
        <w:t xml:space="preserve">Not engage other counsel to perform the same services without prior notice to Counsel.</w:t>
      </w:r>
    </w:p>
    <w:p>
      <w:pPr>
        <w:pStyle w:val="Heading1"/>
        <w:spacing w:after="160" w:before="360"/>
      </w:pPr>
      <w:r>
        <w:rPr>
          <w:rFonts w:ascii="Arial" w:cs="Arial" w:eastAsia="Arial" w:hAnsi="Arial"/>
          <w:b/>
          <w:bCs/>
          <w:color w:val="0A3D62"/>
          <w:sz w:val="28"/>
          <w:szCs w:val="28"/>
        </w:rPr>
        <w:t xml:space="preserve">6. NO EQUITY TO COUNSEL</w:t>
      </w:r>
    </w:p>
    <w:p>
      <w:pPr>
        <w:spacing w:after="160"/>
        <w:jc w:val="left"/>
      </w:pPr>
      <w:r>
        <w:rPr>
          <w:rFonts w:ascii="Arial" w:cs="Arial" w:eastAsia="Arial" w:hAnsi="Arial"/>
          <w:color w:val="000000"/>
          <w:sz w:val="22"/>
          <w:szCs w:val="22"/>
        </w:rPr>
        <w:t xml:space="preserve">The parties expressly agree that this engagement is on a fee-for-service basis only. No equity, shares, options, or ownership interest in MediBank Nexus Limited shall be granted to Counsel as compensation for legal services under this Agreement, unless separately agreed in writing by both parties after independent legal advice. Counsel acknowledges that accepting equity in the Company could create conflicts of interest that may impair the independence of legal advice.</w:t>
      </w:r>
    </w:p>
    <w:p>
      <w:pPr>
        <w:pStyle w:val="Heading1"/>
        <w:spacing w:after="160" w:before="360"/>
      </w:pPr>
      <w:r>
        <w:rPr>
          <w:rFonts w:ascii="Arial" w:cs="Arial" w:eastAsia="Arial" w:hAnsi="Arial"/>
          <w:b/>
          <w:bCs/>
          <w:color w:val="0A3D62"/>
          <w:sz w:val="28"/>
          <w:szCs w:val="28"/>
        </w:rPr>
        <w:t xml:space="preserve">7. INTELLECTUAL PROPERTY IN LEGAL DOCUMENTS</w:t>
      </w:r>
    </w:p>
    <w:p>
      <w:pPr>
        <w:spacing w:after="160"/>
        <w:jc w:val="left"/>
      </w:pPr>
      <w:r>
        <w:rPr>
          <w:rFonts w:ascii="Arial" w:cs="Arial" w:eastAsia="Arial" w:hAnsi="Arial"/>
          <w:color w:val="000000"/>
          <w:sz w:val="22"/>
          <w:szCs w:val="22"/>
        </w:rPr>
        <w:t xml:space="preserve">All documents drafted by Counsel for the Company under this engagement shall, upon full payment of fees, become the property of the Company. The Company shall have the unrestricted right to use, modify, and reproduce such documents for its business purposes.</w:t>
      </w:r>
    </w:p>
    <w:p>
      <w:pPr>
        <w:pStyle w:val="Heading1"/>
        <w:spacing w:after="160" w:before="360"/>
      </w:pPr>
      <w:r>
        <w:rPr>
          <w:rFonts w:ascii="Arial" w:cs="Arial" w:eastAsia="Arial" w:hAnsi="Arial"/>
          <w:b/>
          <w:bCs/>
          <w:color w:val="0A3D62"/>
          <w:sz w:val="28"/>
          <w:szCs w:val="28"/>
        </w:rPr>
        <w:t xml:space="preserve">8. CONFIDENTIALITY</w:t>
      </w:r>
    </w:p>
    <w:p>
      <w:pPr>
        <w:spacing w:after="160"/>
        <w:jc w:val="left"/>
      </w:pPr>
      <w:r>
        <w:rPr>
          <w:rFonts w:ascii="Arial" w:cs="Arial" w:eastAsia="Arial" w:hAnsi="Arial"/>
          <w:color w:val="000000"/>
          <w:sz w:val="22"/>
          <w:szCs w:val="22"/>
        </w:rPr>
        <w:t xml:space="preserve">Counsel shall maintain strict legal professional privilege and confidentiality over all information received from the Company in connection with this engagement. This obligation shall survive the termination of this engagement indefinitely.</w:t>
      </w:r>
    </w:p>
    <w:p>
      <w:pPr>
        <w:pStyle w:val="Heading1"/>
        <w:spacing w:after="160" w:before="360"/>
      </w:pPr>
      <w:r>
        <w:rPr>
          <w:rFonts w:ascii="Arial" w:cs="Arial" w:eastAsia="Arial" w:hAnsi="Arial"/>
          <w:b/>
          <w:bCs/>
          <w:color w:val="0A3D62"/>
          <w:sz w:val="28"/>
          <w:szCs w:val="28"/>
        </w:rPr>
        <w:t xml:space="preserve">9. LIMITATION OF LIABILITY</w:t>
      </w:r>
    </w:p>
    <w:p>
      <w:pPr>
        <w:spacing w:after="160"/>
        <w:jc w:val="left"/>
      </w:pPr>
      <w:r>
        <w:rPr>
          <w:rFonts w:ascii="Arial" w:cs="Arial" w:eastAsia="Arial" w:hAnsi="Arial"/>
          <w:color w:val="000000"/>
          <w:sz w:val="22"/>
          <w:szCs w:val="22"/>
        </w:rPr>
        <w:t xml:space="preserve">Counsel's liability for any loss or damage arising from legal services provided under this engagement shall be limited to the total fees paid by the Company to Counsel under this Agreement. Counsel shall not be liable for any indirect, consequential, or punitive damages.</w:t>
      </w:r>
    </w:p>
    <w:p>
      <w:pPr>
        <w:pStyle w:val="Heading1"/>
        <w:spacing w:after="160" w:before="360"/>
      </w:pPr>
      <w:r>
        <w:rPr>
          <w:rFonts w:ascii="Arial" w:cs="Arial" w:eastAsia="Arial" w:hAnsi="Arial"/>
          <w:b/>
          <w:bCs/>
          <w:color w:val="0A3D62"/>
          <w:sz w:val="28"/>
          <w:szCs w:val="28"/>
        </w:rPr>
        <w:t xml:space="preserve">10. TERM AND TERMINATION</w:t>
      </w:r>
    </w:p>
    <w:p>
      <w:pPr>
        <w:spacing w:after="160"/>
        <w:jc w:val="left"/>
      </w:pPr>
      <w:r>
        <w:rPr>
          <w:rFonts w:ascii="Arial" w:cs="Arial" w:eastAsia="Arial" w:hAnsi="Arial"/>
          <w:color w:val="000000"/>
          <w:sz w:val="22"/>
          <w:szCs w:val="22"/>
        </w:rPr>
        <w:t xml:space="preserve">This engagement shall commence on the Engagement Date and shall continue until all services in Section 2 have been completed and all fees paid, unless earlier terminated. Either party may terminate this engagement by giving fourteen (14) days' written notice. On termination, the Company shall pay for all work completed up to the date of termination, subject to the deferred fee arrangement in Section 3.</w:t>
      </w:r>
    </w:p>
    <w:p>
      <w:pPr>
        <w:pStyle w:val="Heading1"/>
        <w:spacing w:after="160" w:before="360"/>
      </w:pPr>
      <w:r>
        <w:rPr>
          <w:rFonts w:ascii="Arial" w:cs="Arial" w:eastAsia="Arial" w:hAnsi="Arial"/>
          <w:b/>
          <w:bCs/>
          <w:color w:val="0A3D62"/>
          <w:sz w:val="28"/>
          <w:szCs w:val="28"/>
        </w:rPr>
        <w:t xml:space="preserve">11. GOVERNING LAW</w:t>
      </w:r>
    </w:p>
    <w:p>
      <w:pPr>
        <w:spacing w:after="160"/>
        <w:jc w:val="left"/>
      </w:pPr>
      <w:r>
        <w:rPr>
          <w:rFonts w:ascii="Arial" w:cs="Arial" w:eastAsia="Arial" w:hAnsi="Arial"/>
          <w:color w:val="000000"/>
          <w:sz w:val="22"/>
          <w:szCs w:val="22"/>
        </w:rPr>
        <w:t xml:space="preserve">This Letter is governed by the laws of the Federal Republic of Nigeria and the rules and regulations of the Nigerian Bar Association. Any dispute shall be referred to the disciplinary procedures of the Nigerian Bar Association or, if not resolved thereby, to arbitration in Lagos.</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ACCEPTANCE</w:t>
      </w:r>
    </w:p>
    <w:p>
      <w:pPr>
        <w:spacing w:after="160"/>
        <w:jc w:val="left"/>
      </w:pPr>
      <w:r>
        <w:rPr>
          <w:rFonts w:ascii="Arial" w:cs="Arial" w:eastAsia="Arial" w:hAnsi="Arial"/>
          <w:color w:val="000000"/>
          <w:sz w:val="22"/>
          <w:szCs w:val="22"/>
        </w:rPr>
        <w:t xml:space="preserve">By signing below, both parties confirm their agreement to the terms of this Engagement Letter.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MEDIBANK NEXUS LIMITED</w:t>
            </w:r>
          </w:p>
          <w:p>
            <w:pPr>
              <w:spacing w:after="480"/>
            </w:pPr>
            <w:r>
              <w:rPr>
                <w:rFonts w:ascii="Arial" w:cs="Arial" w:eastAsia="Arial" w:hAnsi="Arial"/>
                <w:color w:val="000000"/>
                <w:sz w:val="22"/>
                <w:szCs w:val="22"/>
              </w:rPr>
              <w:t xml:space="preserve">Client</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LEGAL COUNSEL</w:t>
            </w:r>
          </w:p>
          <w:p>
            <w:pPr>
              <w:spacing w:after="480"/>
            </w:pPr>
            <w:r>
              <w:rPr>
                <w:rFonts w:ascii="Arial" w:cs="Arial" w:eastAsia="Arial" w:hAnsi="Arial"/>
                <w:i/>
                <w:iCs/>
                <w:color w:val="CC0000"/>
                <w:sz w:val="22"/>
                <w:szCs w:val="22"/>
              </w:rPr>
              <w:t xml:space="preserve">[EDIT: Lawyer's name / firm]</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Lawyer's Full Name]</w:t>
            </w:r>
          </w:p>
          <w:p>
            <w:pPr>
              <w:spacing w:after="60"/>
            </w:pPr>
            <w:r>
              <w:rPr>
                <w:rFonts w:ascii="Arial" w:cs="Arial" w:eastAsia="Arial" w:hAnsi="Arial"/>
                <w:i/>
                <w:iCs/>
                <w:color w:val="CC0000"/>
                <w:sz w:val="22"/>
                <w:szCs w:val="22"/>
              </w:rPr>
              <w:t xml:space="preserve">[EDIT: NBA Reg. No.]</w:t>
            </w:r>
          </w:p>
          <w:p>
            <w:r>
              <w:rPr>
                <w:rFonts w:ascii="Arial" w:cs="Arial" w:eastAsia="Arial" w:hAnsi="Arial"/>
                <w:color w:val="000000"/>
                <w:sz w:val="22"/>
                <w:szCs w:val="22"/>
              </w:rPr>
              <w:t xml:space="preserve">Date: 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Legal Engagement Letter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2026-05-30T16:29:55.667Z</dcterms:created>
  <dcterms:modified xsi:type="dcterms:W3CDTF">2026-05-30T16:29:55.682Z</dcterms:modified>
</cp:coreProperties>
</file>

<file path=docProps/custom.xml><?xml version="1.0" encoding="utf-8"?>
<Properties xmlns="http://schemas.openxmlformats.org/officeDocument/2006/custom-properties" xmlns:vt="http://schemas.openxmlformats.org/officeDocument/2006/docPropsVTypes"/>
</file>