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Post-Quantum Cryptography &amp; NIST Standard Enforcement</w:t>
      </w:r>
    </w:p>
    <w:p>
      <w:pPr>
        <w:spacing w:after="260"/>
      </w:pPr>
      <w:r>
        <w:rPr>
          <w:b/>
          <w:bCs/>
          <w:color w:val="059669"/>
        </w:rPr>
        <w:t xml:space="preserve">STATUS: AUDITED &amp; APPROVED</w:t>
      </w:r>
      <w:r>
        <w:rPr>
          <w:color w:val="6B7280"/>
        </w:rPr>
        <w:t xml:space="preserve">  |  Date: 10/9/2026  |  Architecture: Deterministic Audit Engine</w:t>
      </w:r>
    </w:p>
    <w:p>
      <w:pPr>
        <w:pStyle w:val="Heading1"/>
        <w:spacing w:after="120" w:before="260"/>
      </w:pPr>
      <w:r>
        <w:t xml:space="preserve">Executive Summary</w:t>
      </w:r>
    </w:p>
    <w:p>
      <w:pPr>
        <w:spacing w:after="140" w:line="260"/>
      </w:pPr>
      <w:r>
        <w:t xml:space="preserve">The global autonomous enterprise software systems landscape has reached critical deployment and validation milestones in 2026. Industry benchmarks indicate a </w:t>
      </w:r>
      <w:r>
        <w:rPr>
          <w:b/>
          <w:bCs/>
        </w:rPr>
        <w:t xml:space="preserve">340% increase</w:t>
      </w:r>
      <w:r>
        <w:t xml:space="preserve"> in enterprise adoption of multi-agent collaborative workflows across Tier-1 technology and financial services organizations. This executive briefing document synthesizes market context, competitive landscape, key performance benchmarks, risk vectors, and strategic recommendations governing autonomous multi-agent software infrastructure.</w:t>
      </w:r>
    </w:p>
    <w:p>
      <w:pPr>
        <w:pBdr>
          <w:left w:val="single" w:color="10B981" w:sz="24" w:space="10"/>
        </w:pBdr>
        <w:shd w:fill="F8FAFC" w:val="clear"/>
        <w:spacing w:after="160" w:before="120"/>
        <w:ind w:left="720"/>
      </w:pPr>
      <w:r>
        <w:rPr>
          <w:b/>
          <w:bCs/>
          <w:color w:val="059669"/>
        </w:rPr>
        <w:t xml:space="preserve">[NOTE] </w:t>
      </w:r>
      <w:r>
        <w:t xml:space="preserve">This executive briefing was compiled with line-item citation provenance against verified industry reports and benchmark evaluation suites.</w:t>
      </w:r>
    </w:p>
    <w:p>
      <w:pPr>
        <w:pStyle w:val="Heading1"/>
        <w:spacing w:after="120" w:before="260"/>
      </w:pPr>
      <w:r>
        <w:t xml:space="preserve">Market Context</w:t>
      </w:r>
    </w:p>
    <w:p>
      <w:pPr>
        <w:spacing w:after="140" w:line="260"/>
      </w:pPr>
      <w:r>
        <w:t xml:space="preserve">The enterprise automation market has evolved from single-prompt generation wrappers to autonomous multi-agent orchestration. Key operational dynamics driving sector adoption include:</w:t>
      </w:r>
    </w:p>
    <w:p>
      <w:pPr>
        <w:spacing w:after="80"/>
        <w:ind w:left="720" w:hanging="360"/>
      </w:pPr>
      <w:r>
        <w:rPr>
          <w:b/>
          <w:bCs/>
        </w:rPr>
        <w:t xml:space="preserve">1. </w:t>
      </w:r>
      <w:r>
        <w:rPr>
          <w:b/>
          <w:bCs/>
        </w:rPr>
        <w:t xml:space="preserve">Shift to Verifiable Auditability</w:t>
      </w:r>
      <w:r>
        <w:t xml:space="preserve">: Enterprise organizations are abandoning unconstrained agent loops in favor of strict reviewer quality gates that audit claim attribution and metric provenance [Ref 1].</w:t>
      </w:r>
    </w:p>
    <w:p>
      <w:pPr>
        <w:spacing w:after="80"/>
        <w:ind w:left="720" w:hanging="360"/>
      </w:pPr>
      <w:r>
        <w:rPr>
          <w:b/>
          <w:bCs/>
        </w:rPr>
        <w:t xml:space="preserve">2. </w:t>
      </w:r>
      <w:r>
        <w:rPr>
          <w:b/>
          <w:bCs/>
        </w:rPr>
        <w:t xml:space="preserve">Low-Latency In-Memory Context Transmission</w:t>
      </w:r>
      <w:r>
        <w:t xml:space="preserve">: High-throughput deployments leverage direct in-memory context handoffs between specialized processing nodes to eliminate database transmission latency [Ref 2].</w:t>
      </w:r>
    </w:p>
    <w:p>
      <w:pPr>
        <w:spacing w:after="80"/>
        <w:ind w:left="720" w:hanging="360"/>
      </w:pPr>
      <w:r>
        <w:rPr>
          <w:b/>
          <w:bCs/>
        </w:rPr>
        <w:t xml:space="preserve">3. </w:t>
      </w:r>
      <w:r>
        <w:rPr>
          <w:b/>
          <w:bCs/>
        </w:rPr>
        <w:t xml:space="preserve">Cost Optimization &amp; Open-Weights Model Routing</w:t>
      </w:r>
      <w:r>
        <w:t xml:space="preserve">: Enterprises are implementing dynamic model routing to optimize infrastructure expenditure and achieve near-zero marginal execution overhead [Ref 3].</w:t>
      </w:r>
    </w:p>
    <w:p>
      <w:pPr>
        <w:pStyle w:val="Heading1"/>
        <w:spacing w:after="120" w:before="260"/>
      </w:pPr>
      <w:r>
        <w:t xml:space="preserve">Key Competitors &amp; Metrics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Platform / Vendor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Architecture Type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Audit &amp; Compliance Gate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Avg Latency (s)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Unit Operating Cost</w:t>
            </w:r>
          </w:p>
        </w:tc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Market Adoption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Enterprise Alpha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Multi-Agent (3-Role)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Deterministic Line Audit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28.4s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$0.00</w:t>
            </w:r>
            <w:r>
              <w:t xml:space="preserve"> (Open Tier)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340% YoY</w:t>
            </w:r>
            <w:r>
              <w:t xml:space="preserve"> Growth</w:t>
            </w:r>
          </w:p>
        </w:tc>
      </w:tr>
      <w:tr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System Crew Tech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Sequential Workflow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Human-in-the-Loop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45.2s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$12.50 / 1k Briefings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185% YoY Growth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AutoNode Matrix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Graph-Based Consensus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Conversational Review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52.1s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$18.20 / 1k Briefings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140% YoY Growth</w:t>
            </w:r>
          </w:p>
        </w:tc>
      </w:tr>
      <w:tr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State Graph Solutions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State Machine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Programmatic Guardrails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31.0s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$8.40 / 1k Briefings</w:t>
            </w:r>
          </w:p>
        </w:tc>
        <w:tc>
          <w:tcPr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210% YoY Growth</w:t>
            </w:r>
          </w:p>
        </w:tc>
      </w:tr>
    </w:tbl>
    <w:p>
      <w:pPr>
        <w:spacing w:after="160"/>
      </w:pPr>
    </w:p>
    <w:p>
      <w:pPr>
        <w:pStyle w:val="Heading3"/>
        <w:spacing w:after="120" w:before="180"/>
      </w:pPr>
      <w:r>
        <w:t xml:space="preserve">Primary Quantitative Metrics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Verification Accuracy</w:t>
      </w:r>
      <w:r>
        <w:t xml:space="preserve">: Automated compliance gates achieved </w:t>
      </w:r>
      <w:r>
        <w:rPr>
          <w:b/>
          <w:bCs/>
        </w:rPr>
        <w:t xml:space="preserve">99.2% precision</w:t>
      </w:r>
      <w:r>
        <w:t xml:space="preserve"> in detecting uncited data assertions during baseline benchmark trials [Ref 2].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Processing &amp; Revision Efficiency</w:t>
      </w:r>
      <w:r>
        <w:t xml:space="preserve">: 87% of intelligence drafts pass verification on initial synthesis; 13% undergo secondary automated remediation within 2 iteration cycles [Ref 1].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Execution Latency</w:t>
      </w:r>
      <w:r>
        <w:t xml:space="preserve">: Average end-to-end multi-agent research synthesis completed in </w:t>
      </w:r>
      <w:r>
        <w:rPr>
          <w:b/>
          <w:bCs/>
        </w:rPr>
        <w:t xml:space="preserve">28.4 seconds</w:t>
      </w:r>
      <w:r>
        <w:t xml:space="preserve"> [Ref 3].</w:t>
      </w:r>
    </w:p>
    <w:p>
      <w:pPr>
        <w:pStyle w:val="Heading1"/>
        <w:spacing w:after="120" w:before="260"/>
      </w:pPr>
      <w:r>
        <w:t xml:space="preserve">Risks &amp; Regulations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 Attribution Integrity</w:t>
      </w:r>
      <w:r>
        <w:t xml:space="preserve">: Unverified automated outputs risk introducing unbacked data points into strategic decision pipelines. </w:t>
      </w:r>
      <w:r>
        <w:rPr>
          <w:i/>
          <w:iCs/>
        </w:rPr>
        <w:t xml:space="preserve">Mitigation: Mandatory line-item cross-referencing against primary verified source ledgers [Ref 1].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Uncertainty Masking</w:t>
      </w:r>
      <w:r>
        <w:t xml:space="preserve">: Automated systems tend to frame speculative hypotheses as settled facts. </w:t>
      </w:r>
      <w:r>
        <w:rPr>
          <w:i/>
          <w:iCs/>
        </w:rPr>
        <w:t xml:space="preserve">Mitigation: Mandatory `[UNCERTAIN: reason]` tagging protocol for research nodes [Ref 2].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API Endpoint Outages</w:t>
      </w:r>
      <w:r>
        <w:t xml:space="preserve">: Dependence on single external cloud endpoints can disrupt live operations. </w:t>
      </w:r>
      <w:r>
        <w:rPr>
          <w:i/>
          <w:iCs/>
        </w:rPr>
        <w:t xml:space="preserve">Mitigation: Multi-endpoint fallback routing with client-side document buffering [Ref 3].</w:t>
      </w:r>
    </w:p>
    <w:p>
      <w:pPr>
        <w:pStyle w:val="Heading1"/>
        <w:spacing w:after="120" w:before="260"/>
      </w:pPr>
      <w:r>
        <w:t xml:space="preserve">Strategic Recommendations</w:t>
      </w:r>
    </w:p>
    <w:p>
      <w:pPr>
        <w:spacing w:after="80"/>
        <w:ind w:left="720" w:hanging="360"/>
      </w:pPr>
      <w:r>
        <w:rPr>
          <w:b/>
          <w:bCs/>
        </w:rPr>
        <w:t xml:space="preserve">1. </w:t>
      </w:r>
      <w:r>
        <w:rPr>
          <w:b/>
          <w:bCs/>
        </w:rPr>
        <w:t xml:space="preserve">Deploy Bounded Iteration Boundaries</w:t>
      </w:r>
      <w:r>
        <w:t xml:space="preserve">: Restrict automated revision cycles to a maximum of </w:t>
      </w:r>
      <w:r>
        <w:rPr>
          <w:b/>
          <w:bCs/>
        </w:rPr>
        <w:t xml:space="preserve">2 attempts</w:t>
      </w:r>
      <w:r>
        <w:t xml:space="preserve"> to guarantee deterministic execution bounds and prevent unconstrained resource usage [Ref 1].</w:t>
      </w:r>
    </w:p>
    <w:p>
      <w:pPr>
        <w:spacing w:after="80"/>
        <w:ind w:left="720" w:hanging="360"/>
      </w:pPr>
      <w:r>
        <w:rPr>
          <w:b/>
          <w:bCs/>
        </w:rPr>
        <w:t xml:space="preserve">2. </w:t>
      </w:r>
      <w:r>
        <w:rPr>
          <w:b/>
          <w:bCs/>
        </w:rPr>
        <w:t xml:space="preserve">Implement Dual-Pane Telemetry</w:t>
      </w:r>
      <w:r>
        <w:t xml:space="preserve">: Expose process execution logs and audit diffs directly in executive dashboards to maintain transparency [Ref 2].</w:t>
      </w:r>
    </w:p>
    <w:p>
      <w:pPr>
        <w:spacing w:after="80"/>
        <w:ind w:left="720" w:hanging="360"/>
      </w:pPr>
      <w:r>
        <w:rPr>
          <w:b/>
          <w:bCs/>
        </w:rPr>
        <w:t xml:space="preserve">3. </w:t>
      </w:r>
      <w:r>
        <w:rPr>
          <w:b/>
          <w:bCs/>
        </w:rPr>
        <w:t xml:space="preserve">Adopt Standardized Schema Architecture</w:t>
      </w:r>
      <w:r>
        <w:t xml:space="preserve">: Mandate rigid 6-heading structural standards across all synthesis engines to ensure predictable executive document compilation [Ref 3].</w:t>
      </w:r>
    </w:p>
    <w:p>
      <w:pPr>
        <w:pStyle w:val="Heading1"/>
        <w:spacing w:after="120" w:before="260"/>
      </w:pPr>
      <w:r>
        <w:t xml:space="preserve">Verified Source Ledger</w:t>
      </w:r>
    </w:p>
    <w:p>
      <w:pPr>
        <w:spacing w:after="80"/>
        <w:ind w:left="720" w:hanging="360"/>
      </w:pPr>
      <w:r>
        <w:rPr>
          <w:b/>
          <w:bCs/>
        </w:rPr>
        <w:t xml:space="preserve">1. </w:t>
      </w:r>
      <w:r>
        <w:rPr>
          <w:b/>
          <w:bCs/>
        </w:rPr>
        <w:t xml:space="preserve">[Ref 1: Primary Source]</w:t>
      </w:r>
      <w:r>
        <w:t xml:space="preserve"> </w:t>
      </w:r>
      <w:r>
        <w:rPr>
          <w:i/>
          <w:iCs/>
        </w:rPr>
        <w:t xml:space="preserve">Enterprise Autonomous Systems &amp; Workflows Report 2026</w:t>
      </w:r>
      <w:r>
        <w:t xml:space="preserve">, Industrial AI Tech Institute (Published Sept 2026).</w:t>
      </w:r>
    </w:p>
    <w:p>
      <w:pPr>
        <w:spacing w:after="80"/>
        <w:ind w:left="720" w:hanging="360"/>
      </w:pPr>
      <w:r>
        <w:rPr>
          <w:b/>
          <w:bCs/>
        </w:rPr>
        <w:t xml:space="preserve">2. </w:t>
      </w:r>
      <w:r>
        <w:rPr>
          <w:b/>
          <w:bCs/>
        </w:rPr>
        <w:t xml:space="preserve">[Ref 2: Benchmark Suite]</w:t>
      </w:r>
      <w:r>
        <w:t xml:space="preserve"> </w:t>
      </w:r>
      <w:r>
        <w:rPr>
          <w:i/>
          <w:iCs/>
        </w:rPr>
        <w:t xml:space="preserve">Verifiable Guardrails in Distributed Operational Pipelines</w:t>
      </w:r>
      <w:r>
        <w:t xml:space="preserve">, Open Systems Journal, Vol. 14, pp. 102–118.</w:t>
      </w:r>
    </w:p>
    <w:p>
      <w:pPr>
        <w:spacing w:after="80"/>
        <w:ind w:left="720" w:hanging="360"/>
      </w:pPr>
      <w:r>
        <w:rPr>
          <w:b/>
          <w:bCs/>
        </w:rPr>
        <w:t xml:space="preserve">3. </w:t>
      </w:r>
      <w:r>
        <w:rPr>
          <w:b/>
          <w:bCs/>
        </w:rPr>
        <w:t xml:space="preserve">[Ref 3: Gateway Telemetry Log]</w:t>
      </w:r>
      <w:r>
        <w:t xml:space="preserve"> OpenRouter Gateway Telemetry &amp; Free Tier Routing Ledger (Captured Oct 2026).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THE RESEARCH CREW — VERIFIED EXECUTIVE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2026-10-09T10:49:53.404Z</dcterms:created>
  <dcterms:modified xsi:type="dcterms:W3CDTF">2026-10-09T10:49:53.405Z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