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GenesisFT Test 4c: Environment Transfer with Policy Reset</w:t>
      </w:r>
    </w:p>
    <w:p>
      <w:pPr>
        <w:pStyle w:val="Heading2"/>
      </w:pPr>
      <w:r>
        <w:t>1. Objective</w:t>
      </w:r>
    </w:p>
    <w:p>
      <w:r>
        <w:t>Test 4c was designed to evaluate whether the GenesisFT agent can recover coherent behavior after a simultaneous disruption of both its internal policy parameters and its external environment. This test combines the challenges of Test 3c (policy reset) and Test 4a (environment switch) to probe the robustness of internal state continuity, concept formation, and re-stabilization dynamics.</w:t>
      </w:r>
    </w:p>
    <w:p>
      <w:pPr>
        <w:pStyle w:val="Heading2"/>
      </w:pPr>
      <w:r>
        <w:t>2. Motivation</w:t>
      </w:r>
    </w:p>
    <w:p>
      <w:r>
        <w:t>In realistic learning systems, catastrophic events may occur where both learned policies and environmental dynamics change abruptly. Traditional reinforcement learning systems often fail under such compounded shifts. GenesisFT hypothesizes that internal coherence dynamics and concept stability allow recovery without full retraining. Test 4c explicitly evaluates this claim.</w:t>
      </w:r>
    </w:p>
    <w:p>
      <w:pPr>
        <w:pStyle w:val="Heading2"/>
      </w:pPr>
      <w:r>
        <w:t>3. Methodology</w:t>
      </w:r>
    </w:p>
    <w:p>
      <w:r>
        <w:t>The agent was trained on the standard CartPole-v1 environment for 250 episodes. At episode 250, two interventions occurred simultaneously:</w:t>
        <w:br/>
        <w:t>• A full policy reset (randomized policy parameters)</w:t>
        <w:br/>
        <w:t>• An environment switch to a modified CartPole variant with altered gravity, force magnitude, and pole length</w:t>
        <w:br/>
        <w:br/>
        <w:t>Crucially, the internal GenesisFT state (including coherence dynamics, energy, and conceptual memory) was preserved across this reset.</w:t>
      </w:r>
    </w:p>
    <w:p>
      <w:pPr>
        <w:pStyle w:val="Heading2"/>
      </w:pPr>
      <w:r>
        <w:t>4. Experimental Conditions</w:t>
      </w:r>
    </w:p>
    <w:p>
      <w:r>
        <w:t>Two configurations were evaluated:</w:t>
        <w:br/>
        <w:t>• Baseline: CCM disabled (no concept clustering)</w:t>
        <w:br/>
        <w:t>• GenesisFT (CCM enabled): Full coherence-driven concept modeling</w:t>
        <w:br/>
        <w:br/>
        <w:t>Both runs used identical seeds and hyperparameters for comparability.</w:t>
      </w:r>
    </w:p>
    <w:p>
      <w:pPr>
        <w:pStyle w:val="Heading2"/>
      </w:pPr>
      <w:r>
        <w:t>5. Results</w:t>
      </w:r>
    </w:p>
    <w:p>
      <w:r>
        <w:t>Baseline results showed rapid convergence to a fixed coherence ceiling following the reset, with no growth in concept count and minimal adaptive response to the new environment. Performance stabilized but lacked evidence of structural learning.</w:t>
        <w:br/>
        <w:br/>
        <w:t>In contrast, the GenesisFT agent exhibited:</w:t>
        <w:br/>
        <w:t>• Immediate but bounded disruption in coherence and identity gap</w:t>
        <w:br/>
        <w:t>• Rapid recovery of stable reward performance</w:t>
        <w:br/>
        <w:t>• Continued monotonic growth in coherence values</w:t>
        <w:br/>
        <w:t>• Sustained increase in concept count after the reset</w:t>
        <w:br/>
        <w:br/>
        <w:t>Notably, coherence growth resumed after a brief transient period, indicating that internal stability mechanisms were not erased by the policy reset.</w:t>
      </w:r>
    </w:p>
    <w:p>
      <w:pPr>
        <w:pStyle w:val="Heading2"/>
      </w:pPr>
      <w:r>
        <w:t>6. Interpretation</w:t>
      </w:r>
    </w:p>
    <w:p>
      <w:r>
        <w:t>These results indicate that GenesisFT's internal coherence dynamics encode reusable structural knowledge that survives policy-level disruptions. The agent does not relearn from scratch; instead, it reprojects new policies onto an existing conceptual manifold.</w:t>
        <w:br/>
        <w:br/>
        <w:t>The baseline agent lacks this capability and exhibits static post-reset behavior.</w:t>
      </w:r>
    </w:p>
    <w:p>
      <w:pPr>
        <w:pStyle w:val="Heading2"/>
      </w:pPr>
      <w:r>
        <w:t>7. Conclusion</w:t>
      </w:r>
    </w:p>
    <w:p>
      <w:r>
        <w:t>Test 4c demonstrates that GenesisFT can withstand compounded failures involving both internal policy erasure and environmental change. The preservation and reuse of internal coherence structures support the hypothesis that GenesisFT learns stable, transferable internal representations distinct from conventional policy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