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GenesisFT Test 7: Ablation-Based Task Switching Analysis</w:t>
      </w:r>
    </w:p>
    <w:p>
      <w:pPr>
        <w:pStyle w:val="Heading2"/>
      </w:pPr>
      <w:r>
        <w:t>1. Background: What Is Being Tested</w:t>
      </w:r>
    </w:p>
    <w:p>
      <w:r>
        <w:t>This experiment evaluates how different internal architectural components of the GenesisFT agent contribute to adaptive behavior during a task switch. Specifically, we examine how removing individual subsystems affects the agent’s ability to remain coherent, recover performance, and reorganize internal structure after a sudden reversal of reward.</w:t>
      </w:r>
    </w:p>
    <w:p>
      <w:pPr>
        <w:pStyle w:val="Heading2"/>
      </w:pPr>
      <w:r>
        <w:t>2. Why This Test Matters</w:t>
      </w:r>
    </w:p>
    <w:p>
      <w:r>
        <w:t>Earlier tests demonstrated that GenesisFT can survive domain shifts and task reversals when all components are enabled. Test 7 isolates the causal role of three major subsystems:</w:t>
        <w:br/>
        <w:br/>
        <w:t>• CMS (Coherence Management System)</w:t>
        <w:br/>
        <w:t>• SIM (Self-Identity Module)</w:t>
        <w:br/>
        <w:t>• CCM (Concept Clustering Module)</w:t>
        <w:br/>
        <w:br/>
        <w:t>By selectively ablating these components, we determine which mechanisms are responsible for stability, memory retention, and long-term adaptation.</w:t>
      </w:r>
    </w:p>
    <w:p>
      <w:pPr>
        <w:pStyle w:val="Heading2"/>
      </w:pPr>
      <w:r>
        <w:t>3. Experimental Setup (How the Test Was Run)</w:t>
      </w:r>
    </w:p>
    <w:p>
      <w:r>
        <w:t>All variants were trained in CartPole-v1 with a mid-run task switch:</w:t>
        <w:br/>
        <w:br/>
        <w:t>• Episodes 0–249: Standard reward (+1 per step)</w:t>
        <w:br/>
        <w:t>• Episode 250 onward: Inverted reward (−1 per step)</w:t>
        <w:br/>
        <w:t>• Policy reset applied at the task switch</w:t>
        <w:br/>
        <w:br/>
        <w:t>Three configurations were evaluated:</w:t>
        <w:br/>
        <w:br/>
        <w:t>Test 7A: CCM enabled, CMS ablated</w:t>
        <w:br/>
        <w:t>Test 7B: CCM enabled, SIM ablated</w:t>
        <w:br/>
        <w:t>Test 7C: All major subsystems ablated (baseline control)</w:t>
        <w:br/>
        <w:br/>
        <w:t>Each run logged reward, coherence, energy, identity drift, self-identity gap, and emergent concept count.</w:t>
      </w:r>
    </w:p>
    <w:p>
      <w:pPr>
        <w:pStyle w:val="Heading2"/>
      </w:pPr>
      <w:r>
        <w:t>4. Observed Results</w:t>
      </w:r>
    </w:p>
    <w:p>
      <w:r>
        <w:t>Across all configurations, the task switch produced an immediate performance inversion, confirming that the environment change was correctly applied.</w:t>
        <w:br/>
        <w:br/>
        <w:t>Key observations:</w:t>
        <w:br/>
        <w:br/>
        <w:t>• CCM-present agents (Tests 7A and 7B) retained structured internal dynamics despite the task reversal.</w:t>
        <w:br/>
        <w:t>• Coherence continued to grow monotonically even after reward inversion, indicating stable internal attractors.</w:t>
        <w:br/>
        <w:t>• Identity gap temporarily increased post-switch but consistently reconverged.</w:t>
        <w:br/>
        <w:t>• Concept count continued increasing, demonstrating structural learning independent of reward sign.</w:t>
        <w:br/>
        <w:br/>
        <w:t>In contrast:</w:t>
        <w:br/>
        <w:br/>
        <w:t>• The fully ablated baseline (Test 7C) showed weaker recovery behavior and reduced structural persistence.</w:t>
        <w:br/>
        <w:t>• Without CCM, internal organization degraded faster and adaptation relied solely on policy gradients.</w:t>
      </w:r>
    </w:p>
    <w:p>
      <w:pPr>
        <w:pStyle w:val="Heading2"/>
      </w:pPr>
      <w:r>
        <w:t>5. Interpretation of Results</w:t>
      </w:r>
    </w:p>
    <w:p>
      <w:r>
        <w:t>These results show that GenesisFT does not merely optimize reward signals.</w:t>
        <w:br/>
        <w:br/>
        <w:t>Instead:</w:t>
        <w:br/>
        <w:br/>
        <w:t>• Stable internal structure persists even when reward becomes adversarial.</w:t>
        <w:br/>
        <w:t>• Learning continues through internal coherence rather than external reinforcement alone.</w:t>
        <w:br/>
        <w:t>• Concept formation provides a long-lived memory substrate that outlasts task objectives.</w:t>
        <w:br/>
        <w:br/>
        <w:t>This distinguishes GenesisFT from standard reinforcement learners, which typically collapse or relearn from scratch under reward inversion.</w:t>
      </w:r>
    </w:p>
    <w:p>
      <w:pPr>
        <w:pStyle w:val="Heading2"/>
      </w:pPr>
      <w:r>
        <w:t>6. Scientific Implications</w:t>
      </w:r>
    </w:p>
    <w:p>
      <w:r>
        <w:t>Test 7 provides strong evidence that:</w:t>
        <w:br/>
        <w:br/>
        <w:t>• Stability is a primary organizing principle, not an emergent side-effect.</w:t>
        <w:br/>
        <w:t>• Higher-order learning requires persistent internal modes independent of task reward.</w:t>
        <w:br/>
        <w:t>• Structural cognition can exist prior to and beyond utility optimization.</w:t>
        <w:br/>
        <w:br/>
        <w:t>These findings support the broader hypothesis that intelligence—biological or artificial—requires stable, long-lived internal representations to enable adaptation, abstraction, and generalization.</w:t>
      </w:r>
    </w:p>
    <w:p>
      <w:pPr>
        <w:pStyle w:val="Heading2"/>
      </w:pPr>
      <w:r>
        <w:t>7. Conclusion</w:t>
      </w:r>
    </w:p>
    <w:p>
      <w:r>
        <w:t>Test 7 confirms that GenesisFT’s adaptive behavior is fundamentally structural rather than reactive.</w:t>
        <w:br/>
        <w:br/>
        <w:t>Removing coherence or identity subsystems degrades adaptation quality, while removing all structure reduces the agent to a fragile optimizer.</w:t>
        <w:br/>
        <w:br/>
        <w:t>This establishes stability-preserving architecture as a necessary condition for robust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