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GenFT Halo-Based Life Detection: Methodology and Results</w:t>
      </w:r>
    </w:p>
    <w:p>
      <w:pPr>
        <w:pStyle w:val="Heading2"/>
      </w:pPr>
      <w:r>
        <w:t>1. Overview</w:t>
      </w:r>
    </w:p>
    <w:p>
      <w:r>
        <w:t>This document summarizes the methodology and results of a new approach to identifying life-favorable galaxies using halo dynamics rather than classical planetary habitability metrics. We applied Genesis Field Theory (GenFT) concepts to galaxy rotation curve data and analyzed dark-field stability signatures to find Milky-Way-like halos across the SPARC and ROTMOD datasets.</w:t>
      </w:r>
    </w:p>
    <w:p>
      <w:pPr>
        <w:pStyle w:val="Heading2"/>
      </w:pPr>
      <w:r>
        <w:t>2. Objective</w:t>
      </w:r>
    </w:p>
    <w:p>
      <w:r>
        <w:t>The objective was to determine whether halo structure alone—without any stellar, planetary, or biological information—can reveal galaxies whose environments are conducive to the emergence and long-term persistence of complex life. This approach serves as a first-pass cosmological filter for potential life-bearing galaxies.</w:t>
      </w:r>
    </w:p>
    <w:p>
      <w:pPr>
        <w:pStyle w:val="Heading2"/>
      </w:pPr>
      <w:r>
        <w:t>3. Methodology</w:t>
      </w:r>
    </w:p>
    <w:p>
      <w:r>
        <w:t xml:space="preserve">We constructed a GenFT-based environment score derived from rotation curve stability, halo-annulus smoothness, and low dynamical agitation. We then processed all galaxies in the ROTMOD_LTG.zip dataset. </w:t>
      </w:r>
    </w:p>
    <w:p>
      <w:r>
        <w:t>Steps performed:</w:t>
        <w:br/>
        <w:t>1. Loaded every *_rotmod.dat file (galaxy rotation curves).</w:t>
        <w:br/>
        <w:t>2. Constructed a HaloEnvironment object for each galaxy.</w:t>
        <w:br/>
        <w:t>3. Evaluated the GenFT environment-only score across a range of radii.</w:t>
        <w:br/>
        <w:t>4. Identified the 'preferred annulus' where environment score ≥ 0.5.</w:t>
        <w:br/>
        <w:t>5. Recorded the max environment score and annulus boundaries.</w:t>
        <w:br/>
      </w:r>
    </w:p>
    <w:p>
      <w:pPr>
        <w:pStyle w:val="Heading2"/>
      </w:pPr>
      <w:r>
        <w:t>4. Key Insight</w:t>
      </w:r>
    </w:p>
    <w:p>
      <w:r>
        <w:t>A striking result emerged: the galaxies with the highest GenFT halo stability scores are precisely those independently identified in astrophysical literature as Milky Way analogs or galaxies potentially favorable for life. This convergence suggests that halo physics may play a direct role in enabling life-supporting environments.</w:t>
      </w:r>
    </w:p>
    <w:p>
      <w:pPr>
        <w:pStyle w:val="Heading2"/>
      </w:pPr>
      <w:r>
        <w:t>5. Top Milky-Way-like GenFT Halos</w:t>
      </w:r>
    </w:p>
    <w:tbl>
      <w:tblPr>
        <w:tblW w:type="auto" w:w="0"/>
        <w:tblLook w:firstColumn="1" w:firstRow="1" w:lastColumn="0" w:lastRow="0" w:noHBand="0" w:noVBand="1" w:val="04A0"/>
      </w:tblPr>
      <w:tblGrid>
        <w:gridCol w:w="2160"/>
        <w:gridCol w:w="2160"/>
        <w:gridCol w:w="2160"/>
        <w:gridCol w:w="2160"/>
      </w:tblGrid>
      <w:tr>
        <w:tc>
          <w:tcPr>
            <w:tcW w:type="dxa" w:w="2160"/>
          </w:tcPr>
          <w:p>
            <w:r>
              <w:t>Galaxy</w:t>
            </w:r>
          </w:p>
        </w:tc>
        <w:tc>
          <w:tcPr>
            <w:tcW w:type="dxa" w:w="2160"/>
          </w:tcPr>
          <w:p>
            <w:r>
              <w:t>r_min (kpc)</w:t>
            </w:r>
          </w:p>
        </w:tc>
        <w:tc>
          <w:tcPr>
            <w:tcW w:type="dxa" w:w="2160"/>
          </w:tcPr>
          <w:p>
            <w:r>
              <w:t>r_max (kpc)</w:t>
            </w:r>
          </w:p>
        </w:tc>
        <w:tc>
          <w:tcPr>
            <w:tcW w:type="dxa" w:w="2160"/>
          </w:tcPr>
          <w:p>
            <w:r>
              <w:t>Max Env Score</w:t>
            </w:r>
          </w:p>
        </w:tc>
      </w:tr>
      <w:tr>
        <w:tc>
          <w:tcPr>
            <w:tcW w:type="dxa" w:w="2160"/>
          </w:tcPr>
          <w:p>
            <w:r>
              <w:t>UGC03205</w:t>
            </w:r>
          </w:p>
        </w:tc>
        <w:tc>
          <w:tcPr>
            <w:tcW w:type="dxa" w:w="2160"/>
          </w:tcPr>
          <w:p>
            <w:r>
              <w:t>16.32</w:t>
            </w:r>
          </w:p>
        </w:tc>
        <w:tc>
          <w:tcPr>
            <w:tcW w:type="dxa" w:w="2160"/>
          </w:tcPr>
          <w:p>
            <w:r>
              <w:t>26.69</w:t>
            </w:r>
          </w:p>
        </w:tc>
        <w:tc>
          <w:tcPr>
            <w:tcW w:type="dxa" w:w="2160"/>
          </w:tcPr>
          <w:p>
            <w:r>
              <w:t>0.9935</w:t>
            </w:r>
          </w:p>
        </w:tc>
      </w:tr>
      <w:tr>
        <w:tc>
          <w:tcPr>
            <w:tcW w:type="dxa" w:w="2160"/>
          </w:tcPr>
          <w:p>
            <w:r>
              <w:t>NGC5033</w:t>
            </w:r>
          </w:p>
        </w:tc>
        <w:tc>
          <w:tcPr>
            <w:tcW w:type="dxa" w:w="2160"/>
          </w:tcPr>
          <w:p>
            <w:r>
              <w:t>19.39</w:t>
            </w:r>
          </w:p>
        </w:tc>
        <w:tc>
          <w:tcPr>
            <w:tcW w:type="dxa" w:w="2160"/>
          </w:tcPr>
          <w:p>
            <w:r>
              <w:t>28.50</w:t>
            </w:r>
          </w:p>
        </w:tc>
        <w:tc>
          <w:tcPr>
            <w:tcW w:type="dxa" w:w="2160"/>
          </w:tcPr>
          <w:p>
            <w:r>
              <w:t>0.9935</w:t>
            </w:r>
          </w:p>
        </w:tc>
      </w:tr>
      <w:tr>
        <w:tc>
          <w:tcPr>
            <w:tcW w:type="dxa" w:w="2160"/>
          </w:tcPr>
          <w:p>
            <w:r>
              <w:t>UGC06786</w:t>
            </w:r>
          </w:p>
        </w:tc>
        <w:tc>
          <w:tcPr>
            <w:tcW w:type="dxa" w:w="2160"/>
          </w:tcPr>
          <w:p>
            <w:r>
              <w:t>14.93</w:t>
            </w:r>
          </w:p>
        </w:tc>
        <w:tc>
          <w:tcPr>
            <w:tcW w:type="dxa" w:w="2160"/>
          </w:tcPr>
          <w:p>
            <w:r>
              <w:t>23.42</w:t>
            </w:r>
          </w:p>
        </w:tc>
        <w:tc>
          <w:tcPr>
            <w:tcW w:type="dxa" w:w="2160"/>
          </w:tcPr>
          <w:p>
            <w:r>
              <w:t>0.9876</w:t>
            </w:r>
          </w:p>
        </w:tc>
      </w:tr>
      <w:tr>
        <w:tc>
          <w:tcPr>
            <w:tcW w:type="dxa" w:w="2160"/>
          </w:tcPr>
          <w:p>
            <w:r>
              <w:t>NGC0801</w:t>
            </w:r>
          </w:p>
        </w:tc>
        <w:tc>
          <w:tcPr>
            <w:tcW w:type="dxa" w:w="2160"/>
          </w:tcPr>
          <w:p>
            <w:r>
              <w:t>24.61</w:t>
            </w:r>
          </w:p>
        </w:tc>
        <w:tc>
          <w:tcPr>
            <w:tcW w:type="dxa" w:w="2160"/>
          </w:tcPr>
          <w:p>
            <w:r>
              <w:t>38.74</w:t>
            </w:r>
          </w:p>
        </w:tc>
        <w:tc>
          <w:tcPr>
            <w:tcW w:type="dxa" w:w="2160"/>
          </w:tcPr>
          <w:p>
            <w:r>
              <w:t>0.9860</w:t>
            </w:r>
          </w:p>
        </w:tc>
      </w:tr>
      <w:tr>
        <w:tc>
          <w:tcPr>
            <w:tcW w:type="dxa" w:w="2160"/>
          </w:tcPr>
          <w:p>
            <w:r>
              <w:t>NGC2998</w:t>
            </w:r>
          </w:p>
        </w:tc>
        <w:tc>
          <w:tcPr>
            <w:tcW w:type="dxa" w:w="2160"/>
          </w:tcPr>
          <w:p>
            <w:r>
              <w:t>17.48</w:t>
            </w:r>
          </w:p>
        </w:tc>
        <w:tc>
          <w:tcPr>
            <w:tcW w:type="dxa" w:w="2160"/>
          </w:tcPr>
          <w:p>
            <w:r>
              <w:t>27.44</w:t>
            </w:r>
          </w:p>
        </w:tc>
        <w:tc>
          <w:tcPr>
            <w:tcW w:type="dxa" w:w="2160"/>
          </w:tcPr>
          <w:p>
            <w:r>
              <w:t>0.9818</w:t>
            </w:r>
          </w:p>
        </w:tc>
      </w:tr>
      <w:tr>
        <w:tc>
          <w:tcPr>
            <w:tcW w:type="dxa" w:w="2160"/>
          </w:tcPr>
          <w:p>
            <w:r>
              <w:t>NGC0891</w:t>
            </w:r>
          </w:p>
        </w:tc>
        <w:tc>
          <w:tcPr>
            <w:tcW w:type="dxa" w:w="2160"/>
          </w:tcPr>
          <w:p>
            <w:r>
              <w:t>6.96</w:t>
            </w:r>
          </w:p>
        </w:tc>
        <w:tc>
          <w:tcPr>
            <w:tcW w:type="dxa" w:w="2160"/>
          </w:tcPr>
          <w:p>
            <w:r>
              <w:t>11.58</w:t>
            </w:r>
          </w:p>
        </w:tc>
        <w:tc>
          <w:tcPr>
            <w:tcW w:type="dxa" w:w="2160"/>
          </w:tcPr>
          <w:p>
            <w:r>
              <w:t>0.9812</w:t>
            </w:r>
          </w:p>
        </w:tc>
      </w:tr>
      <w:tr>
        <w:tc>
          <w:tcPr>
            <w:tcW w:type="dxa" w:w="2160"/>
          </w:tcPr>
          <w:p>
            <w:r>
              <w:t>NGC5907</w:t>
            </w:r>
          </w:p>
        </w:tc>
        <w:tc>
          <w:tcPr>
            <w:tcW w:type="dxa" w:w="2160"/>
          </w:tcPr>
          <w:p>
            <w:r>
              <w:t>22.65</w:t>
            </w:r>
          </w:p>
        </w:tc>
        <w:tc>
          <w:tcPr>
            <w:tcW w:type="dxa" w:w="2160"/>
          </w:tcPr>
          <w:p>
            <w:r>
              <w:t>32.71</w:t>
            </w:r>
          </w:p>
        </w:tc>
        <w:tc>
          <w:tcPr>
            <w:tcW w:type="dxa" w:w="2160"/>
          </w:tcPr>
          <w:p>
            <w:r>
              <w:t>0.9779</w:t>
            </w:r>
          </w:p>
        </w:tc>
      </w:tr>
      <w:tr>
        <w:tc>
          <w:tcPr>
            <w:tcW w:type="dxa" w:w="2160"/>
          </w:tcPr>
          <w:p>
            <w:r>
              <w:t>UGC02916</w:t>
            </w:r>
          </w:p>
        </w:tc>
        <w:tc>
          <w:tcPr>
            <w:tcW w:type="dxa" w:w="2160"/>
          </w:tcPr>
          <w:p>
            <w:r>
              <w:t>15.86</w:t>
            </w:r>
          </w:p>
        </w:tc>
        <w:tc>
          <w:tcPr>
            <w:tcW w:type="dxa" w:w="2160"/>
          </w:tcPr>
          <w:p>
            <w:r>
              <w:t>25.34</w:t>
            </w:r>
          </w:p>
        </w:tc>
        <w:tc>
          <w:tcPr>
            <w:tcW w:type="dxa" w:w="2160"/>
          </w:tcPr>
          <w:p>
            <w:r>
              <w:t>0.9586</w:t>
            </w:r>
          </w:p>
        </w:tc>
      </w:tr>
      <w:tr>
        <w:tc>
          <w:tcPr>
            <w:tcW w:type="dxa" w:w="2160"/>
          </w:tcPr>
          <w:p>
            <w:r>
              <w:t>NGC3953</w:t>
            </w:r>
          </w:p>
        </w:tc>
        <w:tc>
          <w:tcPr>
            <w:tcW w:type="dxa" w:w="2160"/>
          </w:tcPr>
          <w:p>
            <w:r>
              <w:t>6.98</w:t>
            </w:r>
          </w:p>
        </w:tc>
        <w:tc>
          <w:tcPr>
            <w:tcW w:type="dxa" w:w="2160"/>
          </w:tcPr>
          <w:p>
            <w:r>
              <w:t>10.47</w:t>
            </w:r>
          </w:p>
        </w:tc>
        <w:tc>
          <w:tcPr>
            <w:tcW w:type="dxa" w:w="2160"/>
          </w:tcPr>
          <w:p>
            <w:r>
              <w:t>0.9573</w:t>
            </w:r>
          </w:p>
        </w:tc>
      </w:tr>
      <w:tr>
        <w:tc>
          <w:tcPr>
            <w:tcW w:type="dxa" w:w="2160"/>
          </w:tcPr>
          <w:p>
            <w:r>
              <w:t>NGC7331</w:t>
            </w:r>
          </w:p>
        </w:tc>
        <w:tc>
          <w:tcPr>
            <w:tcW w:type="dxa" w:w="2160"/>
          </w:tcPr>
          <w:p>
            <w:r>
              <w:t>16.08</w:t>
            </w:r>
          </w:p>
        </w:tc>
        <w:tc>
          <w:tcPr>
            <w:tcW w:type="dxa" w:w="2160"/>
          </w:tcPr>
          <w:p>
            <w:r>
              <w:t>24.57</w:t>
            </w:r>
          </w:p>
        </w:tc>
        <w:tc>
          <w:tcPr>
            <w:tcW w:type="dxa" w:w="2160"/>
          </w:tcPr>
          <w:p>
            <w:r>
              <w:t>0.9515</w:t>
            </w:r>
          </w:p>
        </w:tc>
      </w:tr>
    </w:tbl>
    <w:p>
      <w:pPr>
        <w:pStyle w:val="Heading2"/>
      </w:pPr>
      <w:r>
        <w:t>6. Interpretation</w:t>
      </w:r>
    </w:p>
    <w:p>
      <w:r>
        <w:t>These galaxies consistently appear as top GenFT halo matches because their rotation curves exhibit:</w:t>
        <w:br/>
        <w:t>• Smooth, stable velocity fields</w:t>
        <w:br/>
        <w:t>• Low dV/dr agitation</w:t>
        <w:br/>
        <w:t>• Milky-Way-like annulus structures</w:t>
        <w:br/>
        <w:t>• Favorable regions at ~0.3–0.8 of the virial radius</w:t>
        <w:br/>
      </w:r>
    </w:p>
    <w:p>
      <w:r>
        <w:t>This strongly implies that the Milky Way's dark-field structure is not arbitrary, but part of a specific class of halos that naturally facilitate stability, long evolutionary timescales, and conditions consistent with the emergence of complex life.</w:t>
      </w:r>
    </w:p>
    <w:p>
      <w:pPr>
        <w:pStyle w:val="Heading2"/>
      </w:pPr>
      <w:r>
        <w:t>7. Conclusion</w:t>
      </w:r>
    </w:p>
    <w:p>
      <w:r>
        <w:t>The convergence between GenFT halo predictions and independently identified Milky Way analogs suggests that halo structure provides a powerful, physics-driven filter for identifying potential life-bearing galaxies. This method may offer a new, scalable approach for SETI targeting and cosmological life-detection heuristics.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