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Modelo de Bug Report: Tradicional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Imagens no banner não carregam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 / 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http://lojaebac.ebaconline.art.br/home/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5146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link da loja da EBAC “CENASTORE”;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na aba “Home” e esperar o carrossel de slides do banner carregar.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Deveria aparecer duas imagens do produto em destaque no primeiro slide, mas as imagens não carregam.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Exemplo de imagem do produto:</w:t>
              <w:br w:type="textWrapping"/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886075" cy="325755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3257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18/12/2023 - 15:19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Josimari Fabri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EBAC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Abas e botões não responsivos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Homologação / 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http://lojaebac.ebaconline.art.br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3716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link da loja da EBAC “CENASTORE”;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na aba “CATEGORIAS” e “MAIS VENDIDOS”;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Clicar nas imagens dos produtos no banner logo abaixo das abas.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abas deveriam abrir para uma outra página com os produtos separados em categorias e outra com os produtos mais vendidos, mas os botões não estão responsivos;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mesma forma, as imagens dos produtos sugerem que, ao clicar, o usuário será encaminhado diretamente para a página do produto destacado, mas nada acontece. </w:t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Grave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Máxima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18/12/2023 - 15:23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Josimari Fabri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EBAC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hyperlink" Target="http://lojaebac.ebaconline.art.br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jaebac.ebaconline.art.br/home/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NUKDkvsw0T7zkyQoSi3AcGr1og==">CgMxLjAyCWguMzBqMHpsbDgAciExWVh5Ni1NTHloemw0cGpZOEJxV0dlTzZSUXlBWFJ5Wjc=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