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LEAVE POLICY</w:t>
      </w:r>
    </w:p>
    <w:p>
      <w:r>
        <w:t>Employees are entitled to 18 days of annual leave per calendar year.</w:t>
      </w:r>
    </w:p>
    <w:p>
      <w:r>
        <w:t>Annual leave must be requested through the employee portal and approved by the employee's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