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  <w:pBdr>
          <w:bottom w:val="single" w:sz="10" w:space="4" w:color="1F3864"/>
        </w:pBdr>
      </w:pPr>
      <w:r>
        <w:rPr>
          <w:rFonts w:ascii="Arial" w:hAnsi="Arial"/>
          <w:b/>
          <w:i w:val="0"/>
          <w:color w:val="1F3864"/>
          <w:sz w:val="38"/>
        </w:rPr>
        <w:t>F2 — Requisitos no funcionales · Velvet Wallet (Fase 1)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Proyecto APT:</w:t>
      </w:r>
      <w:r>
        <w:rPr>
          <w:rFonts w:ascii="Arial" w:hAnsi="Arial"/>
          <w:b w:val="0"/>
          <w:i w:val="0"/>
          <w:sz w:val="20"/>
        </w:rPr>
        <w:t xml:space="preserve"> Velvet Wallet — Aplicación móvil de finanzas personales consumidora del Sistema de Finanzas Abiertas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Asignatura:</w:t>
      </w:r>
      <w:r>
        <w:rPr>
          <w:rFonts w:ascii="Arial" w:hAnsi="Arial"/>
          <w:b w:val="0"/>
          <w:i w:val="0"/>
          <w:sz w:val="20"/>
        </w:rPr>
        <w:t xml:space="preserve"> Capstone APT122 · Ingeniería en Informática · Duoc UC, sede Puerto Montt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Integrantes:</w:t>
      </w:r>
      <w:r>
        <w:rPr>
          <w:rFonts w:ascii="Arial" w:hAnsi="Arial"/>
          <w:b w:val="0"/>
          <w:i w:val="0"/>
          <w:sz w:val="20"/>
        </w:rPr>
        <w:t xml:space="preserve"> PADRON JOSSUE · TORRES PEDRO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Documento:</w:t>
      </w:r>
      <w:r>
        <w:rPr>
          <w:rFonts w:ascii="Arial" w:hAnsi="Arial"/>
          <w:b w:val="0"/>
          <w:i w:val="0"/>
          <w:sz w:val="20"/>
        </w:rPr>
        <w:t xml:space="preserve"> F2 — Requisitos no funcionales preliminares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Fecha:</w:t>
      </w:r>
      <w:r>
        <w:rPr>
          <w:rFonts w:ascii="Arial" w:hAnsi="Arial"/>
          <w:b w:val="0"/>
          <w:i w:val="0"/>
          <w:sz w:val="20"/>
        </w:rPr>
        <w:t xml:space="preserve"> 26 de agosto de 2026</w:t>
      </w:r>
    </w:p>
    <w:p>
      <w:pPr>
        <w:jc w:val="both"/>
      </w:pPr>
      <w:r>
        <w:rPr>
          <w:rFonts w:ascii="Arial" w:hAnsi="Arial"/>
          <w:b/>
          <w:i w:val="0"/>
          <w:sz w:val="21"/>
        </w:rPr>
        <w:t>Propósito.</w:t>
      </w:r>
      <w:r>
        <w:rPr>
          <w:rFonts w:ascii="Arial" w:hAnsi="Arial"/>
          <w:b w:val="0"/>
          <w:i w:val="0"/>
          <w:sz w:val="21"/>
        </w:rPr>
        <w:t xml:space="preserve"> Establece los requisitos no funcionales del sistema, organizados por categoría de calidad y con indicación del origen de cada uno: principios de producto, estándar del Sistema de Finanzas Abiertas, Ley 21.719 de protección de datos personales, o buenas prácticas de ingeniería. Corresponde al contenido exigido para la Fase 1.</w:t>
      </w:r>
    </w:p>
    <w:p>
      <w:pPr>
        <w:spacing w:after="40"/>
        <w:pBdr>
          <w:bottom w:val="single" w:sz="6" w:space="4" w:color="D9DADE"/>
        </w:pBdr>
      </w:pPr>
    </w:p>
    <w:p>
      <w:pPr>
        <w:jc w:val="both"/>
      </w:pPr>
      <w:r>
        <w:rPr>
          <w:rFonts w:ascii="Arial" w:hAnsi="Arial"/>
          <w:b w:val="0"/>
          <w:i w:val="0"/>
          <w:sz w:val="21"/>
        </w:rPr>
        <w:t xml:space="preserve">Los requisitos no funcionales se numeran </w:t>
      </w:r>
      <w:r>
        <w:rPr>
          <w:rFonts w:ascii="Consolas" w:hAnsi="Consolas"/>
          <w:b w:val="0"/>
          <w:i w:val="0"/>
          <w:color w:val="B01029"/>
          <w:sz w:val="20"/>
        </w:rPr>
        <w:t>RNF-NN</w:t>
      </w:r>
      <w:r>
        <w:rPr>
          <w:rFonts w:ascii="Arial" w:hAnsi="Arial"/>
          <w:b w:val="0"/>
          <w:i w:val="0"/>
          <w:sz w:val="21"/>
        </w:rPr>
        <w:t xml:space="preserve"> y derivan de cuatro fuentes, indicadas en la columna </w:t>
      </w:r>
      <w:r>
        <w:rPr>
          <w:rFonts w:ascii="Arial" w:hAnsi="Arial"/>
          <w:b w:val="0"/>
          <w:i/>
          <w:sz w:val="21"/>
        </w:rPr>
        <w:t>Origen</w:t>
      </w:r>
      <w:r>
        <w:rPr>
          <w:rFonts w:ascii="Arial" w:hAnsi="Arial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291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  <w:tc>
          <w:tcPr>
            <w:tcW w:type="dxa" w:w="8113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Qué es</w:t>
            </w:r>
          </w:p>
        </w:tc>
      </w:tr>
      <w:tr>
        <w:tc>
          <w:tcPr>
            <w:tcW w:type="dxa" w:w="1291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Producto</w:t>
            </w:r>
          </w:p>
        </w:tc>
        <w:tc>
          <w:tcPr>
            <w:tcW w:type="dxa" w:w="811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Principios heredados del prototipo v1: cero fricción mensual y las tres preguntas núcleo</w:t>
            </w:r>
          </w:p>
        </w:tc>
      </w:tr>
      <w:tr>
        <w:tc>
          <w:tcPr>
            <w:tcW w:type="dxa" w:w="1291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SFA</w:t>
            </w:r>
          </w:p>
        </w:tc>
        <w:tc>
          <w:tcPr>
            <w:tcW w:type="dxa" w:w="811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Perfil de seguridad y requerimientos no funcionales de la NCG 514 y su Anexo 3</w:t>
            </w:r>
          </w:p>
        </w:tc>
      </w:tr>
      <w:tr>
        <w:tc>
          <w:tcPr>
            <w:tcW w:type="dxa" w:w="1291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Ley 21.719</w:t>
            </w:r>
          </w:p>
        </w:tc>
        <w:tc>
          <w:tcPr>
            <w:tcW w:type="dxa" w:w="811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Obligaciones de la Ley de Protección de Datos Personales, vigente desde el 01-dic-2026</w:t>
            </w:r>
          </w:p>
        </w:tc>
      </w:tr>
      <w:tr>
        <w:tc>
          <w:tcPr>
            <w:tcW w:type="dxa" w:w="1291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Ingeniería</w:t>
            </w:r>
          </w:p>
        </w:tc>
        <w:tc>
          <w:tcPr>
            <w:tcW w:type="dxa" w:w="811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Buenas prácticas de calidad, mantenibilidad y pruebas exigidas por la asignatura</w:t>
            </w:r>
          </w:p>
        </w:tc>
      </w:tr>
    </w:tbl>
    <w:p>
      <w:pPr>
        <w:spacing w:after="80"/>
      </w:pPr>
    </w:p>
    <w:p>
      <w:pPr>
        <w:spacing w:before="80" w:after="160"/>
        <w:ind w:left="227"/>
        <w:pBdr>
          <w:left w:val="single" w:sz="18" w:space="8" w:color="B01029"/>
        </w:pBdr>
      </w:pPr>
      <w:r>
        <w:rPr>
          <w:rFonts w:ascii="Arial" w:hAnsi="Arial"/>
          <w:b/>
          <w:i w:val="0"/>
          <w:color w:val="44484F"/>
          <w:sz w:val="21"/>
        </w:rPr>
        <w:t>Nota sobre los umbrales.</w:t>
      </w:r>
      <w:r>
        <w:rPr>
          <w:rFonts w:ascii="Arial" w:hAnsi="Arial"/>
          <w:b w:val="0"/>
          <w:i w:val="0"/>
          <w:color w:val="44484F"/>
          <w:sz w:val="21"/>
        </w:rPr>
        <w:t xml:space="preserve"> Los valores numéricos son metas de diseño autoimpuestas y se validan en el bloque J de pruebas. Los marcados con ⚠️ deben contrastarse contra el documento </w:t>
      </w:r>
      <w:r>
        <w:rPr>
          <w:rFonts w:ascii="Arial" w:hAnsi="Arial"/>
          <w:b w:val="0"/>
          <w:i/>
          <w:color w:val="44484F"/>
          <w:sz w:val="21"/>
        </w:rPr>
        <w:t>Requerimientos no funcionales v1.0.0</w:t>
      </w:r>
      <w:r>
        <w:rPr>
          <w:rFonts w:ascii="Arial" w:hAnsi="Arial"/>
          <w:b w:val="0"/>
          <w:i w:val="0"/>
          <w:color w:val="44484F"/>
          <w:sz w:val="21"/>
        </w:rPr>
        <w:t xml:space="preserve"> del portal de la CMF, aún pendiente de lectura, y ajustarse si el estándar exige algo más estricto.</w:t>
      </w:r>
    </w:p>
    <w:p>
      <w:pPr>
        <w:spacing w:after="40"/>
        <w:pBdr>
          <w:bottom w:val="single" w:sz="6" w:space="4" w:color="D9DADE"/>
        </w:pBdr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1. Rendimiento y eficiencia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70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63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70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RNF-01</w:t>
            </w:r>
          </w:p>
        </w:tc>
        <w:tc>
          <w:tcPr>
            <w:tcW w:type="dxa" w:w="806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dashboard debe presentar el resumen del mes en </w:t>
            </w:r>
            <w:r>
              <w:rPr>
                <w:rFonts w:ascii="Arial" w:hAnsi="Arial"/>
                <w:b/>
                <w:i w:val="0"/>
                <w:sz w:val="19"/>
              </w:rPr>
              <w:t>menos de 2 segundos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sobre datos ya sincronizados, en un dispositivo de gama media.</w:t>
            </w:r>
          </w:p>
        </w:tc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RNF-02</w:t>
            </w:r>
          </w:p>
        </w:tc>
        <w:tc>
          <w:tcPr>
            <w:tcW w:type="dxa" w:w="806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clasificación automática de un movimiento no debe superar </w:t>
            </w:r>
            <w:r>
              <w:rPr>
                <w:rFonts w:ascii="Arial" w:hAnsi="Arial"/>
                <w:b/>
                <w:i w:val="0"/>
                <w:sz w:val="19"/>
              </w:rPr>
              <w:t>200 ms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por transacción en el servidor.</w:t>
            </w:r>
          </w:p>
        </w:tc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RNF-03</w:t>
            </w:r>
          </w:p>
        </w:tc>
        <w:tc>
          <w:tcPr>
            <w:tcW w:type="dxa" w:w="806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Una simulación Monte Carlo de </w:t>
            </w:r>
            <w:r>
              <w:rPr>
                <w:rFonts w:ascii="Arial" w:hAnsi="Arial"/>
                <w:b/>
                <w:i w:val="0"/>
                <w:sz w:val="19"/>
              </w:rPr>
              <w:t>10.000 iteraciones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debe resolverse en </w:t>
            </w:r>
            <w:r>
              <w:rPr>
                <w:rFonts w:ascii="Arial" w:hAnsi="Arial"/>
                <w:b/>
                <w:i w:val="0"/>
                <w:sz w:val="19"/>
              </w:rPr>
              <w:t>menos de 3 segundos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RNF-04</w:t>
            </w:r>
          </w:p>
        </w:tc>
        <w:tc>
          <w:tcPr>
            <w:tcW w:type="dxa" w:w="806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sincronización inicial de una institución con 12 meses de historial debe completarse en </w:t>
            </w:r>
            <w:r>
              <w:rPr>
                <w:rFonts w:ascii="Arial" w:hAnsi="Arial"/>
                <w:b/>
                <w:i w:val="0"/>
                <w:sz w:val="19"/>
              </w:rPr>
              <w:t>menos de 60 segundos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RNF-05</w:t>
            </w:r>
          </w:p>
        </w:tc>
        <w:tc>
          <w:tcPr>
            <w:tcW w:type="dxa" w:w="806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detección de recurrencias sobre 24 meses de historial debe ejecutarse en </w:t>
            </w:r>
            <w:r>
              <w:rPr>
                <w:rFonts w:ascii="Arial" w:hAnsi="Arial"/>
                <w:b/>
                <w:i w:val="0"/>
                <w:sz w:val="19"/>
              </w:rPr>
              <w:t>menos de 5 segundos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70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2. Disponibilidad y resiliencia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7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109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47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RNF-06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aplicación debe permanecer operativa con los datos ya almacenados aunque </w:t>
            </w:r>
            <w:r>
              <w:rPr>
                <w:rFonts w:ascii="Arial" w:hAnsi="Arial"/>
                <w:b/>
                <w:i w:val="0"/>
                <w:sz w:val="19"/>
              </w:rPr>
              <w:t>todas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las instituciones estén inaccesibles (degradación elegante).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RNF-07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indisponibilidad de una institución </w:t>
            </w:r>
            <w:r>
              <w:rPr>
                <w:rFonts w:ascii="Arial" w:hAnsi="Arial"/>
                <w:b/>
                <w:i w:val="0"/>
                <w:sz w:val="19"/>
              </w:rPr>
              <w:t>no debe impedir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la sincronización de las demás.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RNF-08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Ante fallas transitorias el sistema debe reintentar con </w:t>
            </w:r>
            <w:r>
              <w:rPr>
                <w:rFonts w:ascii="Arial" w:hAnsi="Arial"/>
                <w:b/>
                <w:i w:val="0"/>
                <w:sz w:val="19"/>
              </w:rPr>
              <w:t>backoff exponencial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con un máximo de 3 intentos por ciclo, y abrir un </w:t>
            </w:r>
            <w:r>
              <w:rPr>
                <w:rFonts w:ascii="Arial" w:hAnsi="Arial"/>
                <w:b/>
                <w:i w:val="0"/>
                <w:sz w:val="19"/>
              </w:rPr>
              <w:t>circuit breaker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tras fallas consecutivas para dejar de consultar un proveedor caído.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RNF-09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Toda pantalla que presente montos agregados debe indicar </w:t>
            </w:r>
            <w:r>
              <w:rPr>
                <w:rFonts w:ascii="Arial" w:hAnsi="Arial"/>
                <w:b/>
                <w:i w:val="0"/>
                <w:sz w:val="19"/>
              </w:rPr>
              <w:t>la antigüedad del dato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y si existen cuentas sin sincronizar.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RNF-10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sistema debe respetar los </w:t>
            </w:r>
            <w:r>
              <w:rPr>
                <w:rFonts w:ascii="Arial" w:hAnsi="Arial"/>
                <w:b/>
                <w:i w:val="0"/>
                <w:sz w:val="19"/>
              </w:rPr>
              <w:t>límites de frecuencia de consulta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definidos por el estándar y reprogramar en lugar de reintentar de inmediato ante una respuesta </w:t>
            </w:r>
            <w:r>
              <w:rPr>
                <w:rFonts w:ascii="Consolas" w:hAnsi="Consolas"/>
                <w:b w:val="0"/>
                <w:i w:val="0"/>
                <w:color w:val="B01029"/>
                <w:sz w:val="18"/>
              </w:rPr>
              <w:t>429</w:t>
            </w:r>
            <w:r>
              <w:rPr>
                <w:rFonts w:ascii="Arial" w:hAnsi="Arial"/>
                <w:b w:val="0"/>
                <w:i w:val="0"/>
                <w:sz w:val="19"/>
              </w:rPr>
              <w:t>. ⚠️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3.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55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93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55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RNF-11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Toda comunicación con proveedores del SFA debe realizarse sobre </w:t>
            </w:r>
            <w:r>
              <w:rPr>
                <w:rFonts w:ascii="Arial" w:hAnsi="Arial"/>
                <w:b/>
                <w:i w:val="0"/>
                <w:sz w:val="19"/>
              </w:rPr>
              <w:t>mTLS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conforme al perfil </w:t>
            </w:r>
            <w:r>
              <w:rPr>
                <w:rFonts w:ascii="Arial" w:hAnsi="Arial"/>
                <w:b/>
                <w:i w:val="0"/>
                <w:sz w:val="19"/>
              </w:rPr>
              <w:t>FAPI 2.0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. Queda prohibido el uso de </w:t>
            </w:r>
            <w:r>
              <w:rPr>
                <w:rFonts w:ascii="Consolas" w:hAnsi="Consolas"/>
                <w:b w:val="0"/>
                <w:i w:val="0"/>
                <w:color w:val="B01029"/>
                <w:sz w:val="18"/>
              </w:rPr>
              <w:t>private_key_jwt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para autenticación de cliente.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RNF-12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Las solicitudes de autorización deben enviarse </w:t>
            </w:r>
            <w:r>
              <w:rPr>
                <w:rFonts w:ascii="Arial" w:hAnsi="Arial"/>
                <w:b/>
                <w:i w:val="0"/>
                <w:sz w:val="19"/>
              </w:rPr>
              <w:t>exclusivamente mediante PAR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(RFC 9126). Está prohibido exponer parámetros de autorización en el redirect del navegador.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RNF-13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Cada llamada a las APIs del estándar debe ir </w:t>
            </w:r>
            <w:r>
              <w:rPr>
                <w:rFonts w:ascii="Arial" w:hAnsi="Arial"/>
                <w:b/>
                <w:i w:val="0"/>
                <w:sz w:val="19"/>
              </w:rPr>
              <w:t>firmada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mediante el header </w:t>
            </w:r>
            <w:r>
              <w:rPr>
                <w:rFonts w:ascii="Consolas" w:hAnsi="Consolas"/>
                <w:b w:val="0"/>
                <w:i w:val="0"/>
                <w:color w:val="B01029"/>
                <w:sz w:val="18"/>
              </w:rPr>
              <w:t>x-jws-signature</w:t>
            </w:r>
            <w:r>
              <w:rPr>
                <w:rFonts w:ascii="Arial" w:hAnsi="Arial"/>
                <w:b w:val="0"/>
                <w:i w:val="0"/>
                <w:sz w:val="19"/>
              </w:rPr>
              <w:t>, y las respuestas deben verificarse.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RNF-14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Los tokens de acceso, tokens de refresco y claves privadas </w:t>
            </w:r>
            <w:r>
              <w:rPr>
                <w:rFonts w:ascii="Arial" w:hAnsi="Arial"/>
                <w:b/>
                <w:i w:val="0"/>
                <w:sz w:val="19"/>
              </w:rPr>
              <w:t>nunca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se almacenan en el dispositivo del usuario ni se exponen al cliente móvil: residen únicamente en el backend.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RNF-15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sistema </w:t>
            </w:r>
            <w:r>
              <w:rPr>
                <w:rFonts w:ascii="Arial" w:hAnsi="Arial"/>
                <w:b/>
                <w:i w:val="0"/>
                <w:sz w:val="19"/>
              </w:rPr>
              <w:t>no solicita, almacena ni transmite credenciales bancarias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del usuario en ningún flujo. La autorización ocurre siempre en el dominio de la institución financiera.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RNF-16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Los datos financieros sensibles deben estar </w:t>
            </w:r>
            <w:r>
              <w:rPr>
                <w:rFonts w:ascii="Arial" w:hAnsi="Arial"/>
                <w:b/>
                <w:i w:val="0"/>
                <w:sz w:val="19"/>
              </w:rPr>
              <w:t>cifrados en reposo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en la base de datos.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RNF-17</w:t>
            </w:r>
          </w:p>
        </w:tc>
        <w:tc>
          <w:tcPr>
            <w:tcW w:type="dxa" w:w="809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cliente móvil debe cumplir el nivel </w:t>
            </w:r>
            <w:r>
              <w:rPr>
                <w:rFonts w:ascii="Arial" w:hAnsi="Arial"/>
                <w:b/>
                <w:i w:val="0"/>
                <w:sz w:val="19"/>
              </w:rPr>
              <w:t>L1 de OWASP MASVS</w:t>
            </w:r>
            <w:r>
              <w:rPr>
                <w:rFonts w:ascii="Arial" w:hAnsi="Arial"/>
                <w:b w:val="0"/>
                <w:i w:val="0"/>
                <w:sz w:val="19"/>
              </w:rPr>
              <w:t>, incluyendo almacenamiento seguro de la sesión y ausencia de datos sensibles en logs.</w:t>
            </w:r>
          </w:p>
        </w:tc>
        <w:tc>
          <w:tcPr>
            <w:tcW w:type="dxa" w:w="65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4. Privacidad y cumplimiento normativo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7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109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47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RNF-18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Todo acceso a datos personales debe quedar registrado en una </w:t>
            </w:r>
            <w:r>
              <w:rPr>
                <w:rFonts w:ascii="Arial" w:hAnsi="Arial"/>
                <w:b/>
                <w:i w:val="0"/>
                <w:sz w:val="19"/>
              </w:rPr>
              <w:t>bitácora de auditoría inmutable</w:t>
            </w:r>
            <w:r>
              <w:rPr>
                <w:rFonts w:ascii="Arial" w:hAnsi="Arial"/>
                <w:b w:val="0"/>
                <w:i w:val="0"/>
                <w:sz w:val="19"/>
              </w:rPr>
              <w:t>, con actor, acción, dato afectado y marca de tiempo. Constituye el registro de actividades de tratamiento que exige la ley.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RNF-19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sistema debe </w:t>
            </w:r>
            <w:r>
              <w:rPr>
                <w:rFonts w:ascii="Arial" w:hAnsi="Arial"/>
                <w:b/>
                <w:i w:val="0"/>
                <w:sz w:val="19"/>
              </w:rPr>
              <w:t>minimizar los datos solicitados</w:t>
            </w:r>
            <w:r>
              <w:rPr>
                <w:rFonts w:ascii="Arial" w:hAnsi="Arial"/>
                <w:b w:val="0"/>
                <w:i w:val="0"/>
                <w:sz w:val="19"/>
              </w:rPr>
              <w:t>: se piden únicamente los alcances estrictamente necesarios para la funcionalidad autorizada por el usuario.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RNF-20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</w:t>
            </w:r>
            <w:r>
              <w:rPr>
                <w:rFonts w:ascii="Arial" w:hAnsi="Arial"/>
                <w:b/>
                <w:i w:val="0"/>
                <w:sz w:val="19"/>
              </w:rPr>
              <w:t>revocación de un consentimiento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debe hacerse efectiva en menos de 5 segundos y propagarse a todos los procesos que dependan de él, incluida la sincronización programada.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RNF-21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</w:t>
            </w:r>
            <w:r>
              <w:rPr>
                <w:rFonts w:ascii="Arial" w:hAnsi="Arial"/>
                <w:b/>
                <w:i w:val="0"/>
                <w:sz w:val="19"/>
              </w:rPr>
              <w:t>exportación completa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 los datos del titular debe entregarse en un formato estructurado e interoperable, en un plazo máximo de 24 horas desde la solicitud.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RNF-22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</w:t>
            </w:r>
            <w:r>
              <w:rPr>
                <w:rFonts w:ascii="Arial" w:hAnsi="Arial"/>
                <w:b/>
                <w:i w:val="0"/>
                <w:sz w:val="19"/>
              </w:rPr>
              <w:t>supresión de cuenta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debe eliminar o anonimizar de forma irreversible todos los datos personales asociados en un plazo máximo de 30 días, conservando solo lo que la ley obligue a retener.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RNF-23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sistema debe permitir </w:t>
            </w:r>
            <w:r>
              <w:rPr>
                <w:rFonts w:ascii="Arial" w:hAnsi="Arial"/>
                <w:b/>
                <w:i w:val="0"/>
                <w:sz w:val="19"/>
              </w:rPr>
              <w:t>detectar y notificar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una vulneración de seguridad dentro de las </w:t>
            </w:r>
            <w:r>
              <w:rPr>
                <w:rFonts w:ascii="Arial" w:hAnsi="Arial"/>
                <w:b/>
                <w:i w:val="0"/>
                <w:sz w:val="19"/>
              </w:rPr>
              <w:t>72 horas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siguientes a su detección.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RNF-24</w:t>
            </w:r>
          </w:p>
        </w:tc>
        <w:tc>
          <w:tcPr>
            <w:tcW w:type="dxa" w:w="810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Los datos personales del usuario </w:t>
            </w:r>
            <w:r>
              <w:rPr>
                <w:rFonts w:ascii="Arial" w:hAnsi="Arial"/>
                <w:b/>
                <w:i w:val="0"/>
                <w:sz w:val="19"/>
              </w:rPr>
              <w:t>no se comparten con terceros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ni se utilizan para fines distintos de los consentidos.</w:t>
            </w:r>
          </w:p>
        </w:tc>
        <w:tc>
          <w:tcPr>
            <w:tcW w:type="dxa" w:w="64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5. Usabilidad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5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8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5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RNF-25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Cero fricción mensual: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ningún dato que no haya cambiado debe volver a ingresarse. El sueldo y los gastos fijos se configuran una vez y persisten de forma histórica.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RNF-26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Las tres preguntas núcleo del producto deben responderse en </w:t>
            </w:r>
            <w:r>
              <w:rPr>
                <w:rFonts w:ascii="Arial" w:hAnsi="Arial"/>
                <w:b/>
                <w:i w:val="0"/>
                <w:sz w:val="19"/>
              </w:rPr>
              <w:t>un máximo de dos toques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desde la pantalla inicial.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RNF-27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sz w:val="19"/>
              </w:rPr>
              <w:t>Ningún total agregado debe presentarse como completo cuando faltan datos.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Ante información parcial, el sistema advierte qué falta antes que mostrar una cifra engañosa.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RNF-28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Categorizar un movimiento pendiente debe requerir </w:t>
            </w:r>
            <w:r>
              <w:rPr>
                <w:rFonts w:ascii="Arial" w:hAnsi="Arial"/>
                <w:b/>
                <w:i w:val="0"/>
                <w:sz w:val="19"/>
              </w:rPr>
              <w:t>un solo toque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en el caso frecuente, mediante sugerencias del clasificador.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RNF-29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interfaz debe estar en </w:t>
            </w:r>
            <w:r>
              <w:rPr>
                <w:rFonts w:ascii="Arial" w:hAnsi="Arial"/>
                <w:b/>
                <w:i w:val="0"/>
                <w:sz w:val="19"/>
              </w:rPr>
              <w:t>español de Chile</w:t>
            </w:r>
            <w:r>
              <w:rPr>
                <w:rFonts w:ascii="Arial" w:hAnsi="Arial"/>
                <w:b w:val="0"/>
                <w:i w:val="0"/>
                <w:sz w:val="19"/>
              </w:rPr>
              <w:t>, con montos en pesos chilenos sin decimales y formato de fecha local.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RNF-30</w:t>
            </w:r>
          </w:p>
        </w:tc>
        <w:tc>
          <w:tcPr>
            <w:tcW w:type="dxa" w:w="808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aplicación debe cumplir un contraste mínimo </w:t>
            </w:r>
            <w:r>
              <w:rPr>
                <w:rFonts w:ascii="Arial" w:hAnsi="Arial"/>
                <w:b/>
                <w:i w:val="0"/>
                <w:sz w:val="19"/>
              </w:rPr>
              <w:t>WCAG AA (4.5:1)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en texto y soportar el escalado de fuente del sistema operativo.</w:t>
            </w:r>
          </w:p>
        </w:tc>
        <w:tc>
          <w:tcPr>
            <w:tcW w:type="dxa" w:w="65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6. Trazabilidad y calidad del dato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54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95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54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RNF-31</w:t>
            </w:r>
          </w:p>
        </w:tc>
        <w:tc>
          <w:tcPr>
            <w:tcW w:type="dxa" w:w="809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</w:t>
            </w:r>
            <w:r>
              <w:rPr>
                <w:rFonts w:ascii="Arial" w:hAnsi="Arial"/>
                <w:b/>
                <w:i w:val="0"/>
                <w:sz w:val="19"/>
              </w:rPr>
              <w:t>payload original nunca se modifica</w:t>
            </w:r>
            <w:r>
              <w:rPr>
                <w:rFonts w:ascii="Arial" w:hAnsi="Arial"/>
                <w:b w:val="0"/>
                <w:i w:val="0"/>
                <w:sz w:val="19"/>
              </w:rPr>
              <w:t>. Las correcciones del usuario se almacenan como una capa separada que se aplica sobre el dato de origen.</w:t>
            </w:r>
          </w:p>
        </w:tc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RNF-32</w:t>
            </w:r>
          </w:p>
        </w:tc>
        <w:tc>
          <w:tcPr>
            <w:tcW w:type="dxa" w:w="809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Todo movimiento presentado al usuario debe poder </w:t>
            </w:r>
            <w:r>
              <w:rPr>
                <w:rFonts w:ascii="Arial" w:hAnsi="Arial"/>
                <w:b/>
                <w:i w:val="0"/>
                <w:sz w:val="19"/>
              </w:rPr>
              <w:t>rastrearse hasta su payload de origen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y su institución.</w:t>
            </w:r>
          </w:p>
        </w:tc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</w:tr>
      <w:tr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RNF-33</w:t>
            </w:r>
          </w:p>
        </w:tc>
        <w:tc>
          <w:tcPr>
            <w:tcW w:type="dxa" w:w="809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clasificador debe </w:t>
            </w:r>
            <w:r>
              <w:rPr>
                <w:rFonts w:ascii="Arial" w:hAnsi="Arial"/>
                <w:b/>
                <w:i w:val="0"/>
                <w:sz w:val="19"/>
              </w:rPr>
              <w:t>abstenerse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cuando su confianza esté bajo el umbral configurado, en lugar de asignar una categoría incorrecta. Un dato ausente es preferible a un dato inventado.</w:t>
            </w:r>
          </w:p>
        </w:tc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  <w:tr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RNF-34</w:t>
            </w:r>
          </w:p>
        </w:tc>
        <w:tc>
          <w:tcPr>
            <w:tcW w:type="dxa" w:w="809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Una resincronización </w:t>
            </w:r>
            <w:r>
              <w:rPr>
                <w:rFonts w:ascii="Arial" w:hAnsi="Arial"/>
                <w:b/>
                <w:i w:val="0"/>
                <w:sz w:val="19"/>
              </w:rPr>
              <w:t>no debe sobrescribir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correcciones previamente realizadas por el usuario.</w:t>
            </w:r>
          </w:p>
        </w:tc>
        <w:tc>
          <w:tcPr>
            <w:tcW w:type="dxa" w:w="65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7. Mantenibilidad y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66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72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66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RNF-35</w:t>
            </w:r>
          </w:p>
        </w:tc>
        <w:tc>
          <w:tcPr>
            <w:tcW w:type="dxa" w:w="807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Los motores deterministas (proyección, recurrencias, normalización) deben alcanzar una </w:t>
            </w:r>
            <w:r>
              <w:rPr>
                <w:rFonts w:ascii="Arial" w:hAnsi="Arial"/>
                <w:b/>
                <w:i w:val="0"/>
                <w:sz w:val="19"/>
              </w:rPr>
              <w:t>cobertura de pruebas unitarias ≥ 70%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RNF-36</w:t>
            </w:r>
          </w:p>
        </w:tc>
        <w:tc>
          <w:tcPr>
            <w:tcW w:type="dxa" w:w="807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simulador de proveedor debe exponer una </w:t>
            </w:r>
            <w:r>
              <w:rPr>
                <w:rFonts w:ascii="Arial" w:hAnsi="Arial"/>
                <w:b/>
                <w:i w:val="0"/>
                <w:sz w:val="19"/>
              </w:rPr>
              <w:t>especificación OpenAPI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conforme al Anexo 3 de la NCG 514, como evidencia verificable de conformidad.</w:t>
            </w:r>
          </w:p>
        </w:tc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</w:t>
            </w:r>
          </w:p>
        </w:tc>
      </w:tr>
      <w:tr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RNF-37</w:t>
            </w:r>
          </w:p>
        </w:tc>
        <w:tc>
          <w:tcPr>
            <w:tcW w:type="dxa" w:w="807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Todo cambio del esquema relacional debe realizarse mediante </w:t>
            </w:r>
            <w:r>
              <w:rPr>
                <w:rFonts w:ascii="Arial" w:hAnsi="Arial"/>
                <w:b/>
                <w:i w:val="0"/>
                <w:sz w:val="19"/>
              </w:rPr>
              <w:t>migraciones versionadas y reversibles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RNF-38</w:t>
            </w:r>
          </w:p>
        </w:tc>
        <w:tc>
          <w:tcPr>
            <w:tcW w:type="dxa" w:w="807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Cada versión del modelo de clasificación debe </w:t>
            </w:r>
            <w:r>
              <w:rPr>
                <w:rFonts w:ascii="Arial" w:hAnsi="Arial"/>
                <w:b/>
                <w:i w:val="0"/>
                <w:sz w:val="19"/>
              </w:rPr>
              <w:t>persistirse junto con sus métricas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 precisión y recall, para poder comparar y revertir.</w:t>
            </w:r>
          </w:p>
        </w:tc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RNF-39</w:t>
            </w:r>
          </w:p>
        </w:tc>
        <w:tc>
          <w:tcPr>
            <w:tcW w:type="dxa" w:w="807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código debe residir en un </w:t>
            </w:r>
            <w:r>
              <w:rPr>
                <w:rFonts w:ascii="Arial" w:hAnsi="Arial"/>
                <w:b/>
                <w:i w:val="0"/>
                <w:sz w:val="19"/>
              </w:rPr>
              <w:t>repositorio público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con historial de commits que refleje aportes individuales identificables.</w:t>
            </w:r>
          </w:p>
        </w:tc>
        <w:tc>
          <w:tcPr>
            <w:tcW w:type="dxa" w:w="66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</w:tbl>
    <w:p>
      <w:pPr>
        <w:spacing w:after="80"/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8. Compatibilidad, portabilidad y escalabilidad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6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806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66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RNF-40</w:t>
            </w:r>
          </w:p>
        </w:tc>
        <w:tc>
          <w:tcPr>
            <w:tcW w:type="dxa" w:w="80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aplicación móvil debe funcionar en </w:t>
            </w:r>
            <w:r>
              <w:rPr>
                <w:rFonts w:ascii="Arial" w:hAnsi="Arial"/>
                <w:b/>
                <w:i w:val="0"/>
                <w:sz w:val="19"/>
              </w:rPr>
              <w:t>Android 10 o superior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e </w:t>
            </w:r>
            <w:r>
              <w:rPr>
                <w:rFonts w:ascii="Arial" w:hAnsi="Arial"/>
                <w:b/>
                <w:i w:val="0"/>
                <w:sz w:val="19"/>
              </w:rPr>
              <w:t>iOS 15 o superior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RNF-41</w:t>
            </w:r>
          </w:p>
        </w:tc>
        <w:tc>
          <w:tcPr>
            <w:tcW w:type="dxa" w:w="80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entorno de desarrollo completo debe levantarse con </w:t>
            </w:r>
            <w:r>
              <w:rPr>
                <w:rFonts w:ascii="Arial" w:hAnsi="Arial"/>
                <w:b/>
                <w:i w:val="0"/>
                <w:sz w:val="19"/>
              </w:rPr>
              <w:t>un solo comando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y de forma reproducible en ambos equipos del proyecto.</w:t>
            </w:r>
          </w:p>
        </w:tc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RNF-42</w:t>
            </w:r>
          </w:p>
        </w:tc>
        <w:tc>
          <w:tcPr>
            <w:tcW w:type="dxa" w:w="80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El modelo de datos debe soportar </w:t>
            </w:r>
            <w:r>
              <w:rPr>
                <w:rFonts w:ascii="Arial" w:hAnsi="Arial"/>
                <w:b/>
                <w:i w:val="0"/>
                <w:sz w:val="19"/>
              </w:rPr>
              <w:t>múltiples instituciones por usuario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sin requerir cambios de esquema al agregar una nueva.</w:t>
            </w:r>
          </w:p>
        </w:tc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  <w:tr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RNF-43</w:t>
            </w:r>
          </w:p>
        </w:tc>
        <w:tc>
          <w:tcPr>
            <w:tcW w:type="dxa" w:w="80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La incorporación de una </w:t>
            </w:r>
            <w:r>
              <w:rPr>
                <w:rFonts w:ascii="Arial" w:hAnsi="Arial"/>
                <w:b/>
                <w:i w:val="0"/>
                <w:sz w:val="19"/>
              </w:rPr>
              <w:t>nueva fuente de ingesta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no debe requerir modificar el modelo canónico, solo agregar su adaptador de normalización.</w:t>
            </w:r>
          </w:p>
        </w:tc>
        <w:tc>
          <w:tcPr>
            <w:tcW w:type="dxa" w:w="6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</w:tr>
    </w:tbl>
    <w:p>
      <w:pPr>
        <w:spacing w:after="80"/>
      </w:pPr>
    </w:p>
    <w:p>
      <w:pPr>
        <w:spacing w:after="40"/>
        <w:pBdr>
          <w:bottom w:val="single" w:sz="6" w:space="4" w:color="D9DADE"/>
        </w:pBdr>
      </w:pPr>
    </w:p>
    <w:p>
      <w:pPr>
        <w:spacing w:before="320" w:after="100"/>
      </w:pPr>
      <w:r>
        <w:rPr>
          <w:rFonts w:ascii="Arial" w:hAnsi="Arial"/>
          <w:b/>
          <w:i w:val="0"/>
          <w:color w:val="1F3864"/>
          <w:sz w:val="29"/>
        </w:rPr>
        <w:t>Resumen por origen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65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  <w:tc>
          <w:tcPr>
            <w:tcW w:type="dxa" w:w="5441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Requisitos</w:t>
            </w:r>
          </w:p>
        </w:tc>
        <w:tc>
          <w:tcPr>
            <w:tcW w:type="dxa" w:w="698"/>
            <w:shd w:val="clear" w:color="auto" w:fill="1F3864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326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Producto</w:t>
            </w:r>
          </w:p>
        </w:tc>
        <w:tc>
          <w:tcPr>
            <w:tcW w:type="dxa" w:w="544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RNF-01, 06, 09, 25 … 29, 33, 34</w:t>
            </w:r>
          </w:p>
        </w:tc>
        <w:tc>
          <w:tcPr>
            <w:tcW w:type="dxa" w:w="69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11</w:t>
            </w:r>
          </w:p>
        </w:tc>
      </w:tr>
      <w:tr>
        <w:tc>
          <w:tcPr>
            <w:tcW w:type="dxa" w:w="326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SFA (NCG 514 / FAPI 2.0)</w:t>
            </w:r>
          </w:p>
        </w:tc>
        <w:tc>
          <w:tcPr>
            <w:tcW w:type="dxa" w:w="544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RNF-07, 10 … 13, 15, 36</w:t>
            </w:r>
          </w:p>
        </w:tc>
        <w:tc>
          <w:tcPr>
            <w:tcW w:type="dxa" w:w="69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7</w:t>
            </w:r>
          </w:p>
        </w:tc>
      </w:tr>
      <w:tr>
        <w:tc>
          <w:tcPr>
            <w:tcW w:type="dxa" w:w="326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Ley 21.719</w:t>
            </w:r>
          </w:p>
        </w:tc>
        <w:tc>
          <w:tcPr>
            <w:tcW w:type="dxa" w:w="544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RNF-16, 18 … 24, 31, 32</w:t>
            </w:r>
          </w:p>
        </w:tc>
        <w:tc>
          <w:tcPr>
            <w:tcW w:type="dxa" w:w="69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11</w:t>
            </w:r>
          </w:p>
        </w:tc>
      </w:tr>
      <w:tr>
        <w:tc>
          <w:tcPr>
            <w:tcW w:type="dxa" w:w="326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Ingeniería</w:t>
            </w:r>
          </w:p>
        </w:tc>
        <w:tc>
          <w:tcPr>
            <w:tcW w:type="dxa" w:w="544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RNF-02 … 05, 08, 14, 17, 30, 35, 37 … 43</w:t>
            </w:r>
          </w:p>
        </w:tc>
        <w:tc>
          <w:tcPr>
            <w:tcW w:type="dxa" w:w="69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14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Arial" w:hAnsi="Arial"/>
          <w:b/>
          <w:i w:val="0"/>
          <w:sz w:val="21"/>
        </w:rPr>
        <w:t>43 requisitos no funcionales.</w:t>
      </w:r>
      <w:r>
        <w:rPr>
          <w:rFonts w:ascii="Arial" w:hAnsi="Arial"/>
          <w:b w:val="0"/>
          <w:i w:val="0"/>
          <w:sz w:val="21"/>
        </w:rPr>
        <w:t xml:space="preserve"> Los tres RNF que más peso tienen en la defensa, por ser decisiones de diseño y no meras metas de calidad, son: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RNF-27</w:t>
      </w:r>
      <w:r>
        <w:rPr>
          <w:rFonts w:ascii="Arial" w:hAnsi="Arial"/>
          <w:b w:val="0"/>
          <w:i w:val="0"/>
          <w:sz w:val="21"/>
        </w:rPr>
        <w:t xml:space="preserve"> — nunca mostrar un total aparentemente completo cuando faltan datos.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RNF-31</w:t>
      </w:r>
      <w:r>
        <w:rPr>
          <w:rFonts w:ascii="Arial" w:hAnsi="Arial"/>
          <w:b w:val="0"/>
          <w:i w:val="0"/>
          <w:sz w:val="21"/>
        </w:rPr>
        <w:t xml:space="preserve"> — el dato original es inmutable; las correcciones son una capa aparte.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RNF-33</w:t>
      </w:r>
      <w:r>
        <w:rPr>
          <w:rFonts w:ascii="Arial" w:hAnsi="Arial"/>
          <w:b w:val="0"/>
          <w:i w:val="0"/>
          <w:sz w:val="21"/>
        </w:rPr>
        <w:t xml:space="preserve"> — el clasificador se abstiene antes que inventar una categoría.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 xml:space="preserve">Los tres responden al mismo criterio: </w:t>
      </w:r>
      <w:r>
        <w:rPr>
          <w:rFonts w:ascii="Arial" w:hAnsi="Arial"/>
          <w:b/>
          <w:i w:val="0"/>
          <w:sz w:val="21"/>
        </w:rPr>
        <w:t>el sistema admite lo que no sabe antes que aparentar una precisión que no tiene.</w:t>
      </w:r>
      <w:r>
        <w:rPr>
          <w:rFonts w:ascii="Arial" w:hAnsi="Arial"/>
          <w:b w:val="0"/>
          <w:i w:val="0"/>
          <w:sz w:val="21"/>
        </w:rPr>
        <w:t xml:space="preserve"> En un producto que maneja dinero, esa es la decisión correcta.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