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pPr>
              <w:spacing w:after="160" w:line="276" w:lineRule="auto"/>
              <w:jc w:val="both"/>
            </w:pPr>
            <w:r>
              <w:t>En contenido sí, y en una actividad me adelanté. En la asignación de quién hace cada cosa, no: ahí el plan se desvió bastante de la carta Gantt.</w:t>
            </w:r>
          </w:p>
          <w:p>
            <w:pPr>
              <w:spacing w:after="160" w:line="276" w:lineRule="auto"/>
              <w:jc w:val="both"/>
            </w:pPr>
            <w:r>
              <w:t>Cumplí dentro de plazo lo que tenía asignado para las semanas 5 a 7: el cliente del Sistema de Finanzas Abiertas y el simulador del proveedor de información, con el flujo de autorización completo (token del participante, consentimiento con alcance RAR, autorización del cliente con su RUT, PKCE y token de acceso atado a ese cliente). La aplicación móvil, que va de la semana 6 a la 13, está en curso y dentro de plazo. El motor de proyección Monte Carlo estaba planificado para las semanas 11 y 12 y quedó terminado y probado en la semana 9, con 21 pruebas unitarias. También adelanté parte del cumplimiento de la Ley 21.719: además de la revocación del consentimiento bancario, implementé el consentimiento específico por finalidad de tratamiento, que es lo que permite entrenar modelos con los datos de una persona solo si ella lo autorizó aparte.</w:t>
            </w:r>
          </w:p>
          <w:p>
            <w:pPr>
              <w:spacing w:after="160" w:line="276" w:lineRule="auto"/>
              <w:jc w:val="both"/>
            </w:pPr>
            <w:r>
              <w:t>Quedaron dos frentes con avance parcial y uno con retraso. La detección de gastos recurrentes se adelantó y ya opera en su primera versión —111 de 263 movimientos quedan marcados como recurrentes y la aplicación filtra entre gasto fijo y variable—, pero todavía le falta lo que el objetivo exige de verdad: tolerancia a variaciones de monto, a desplazamientos de fecha y a cambios en la glosa. La capa de seguridad avanzada del estándar (mTLS, firma JWS y registro dinámico de clientes) se postergó por una decisión explícita de alcance. Y con retraso quedó la integración del clasificador: el modelo está construido y medido, pero aún no incorporado a la rama principal.</w:t>
            </w:r>
          </w:p>
          <w:p>
            <w:pPr>
              <w:spacing w:after="160" w:line="276" w:lineRule="auto"/>
              <w:jc w:val="both"/>
            </w:pPr>
            <w:r>
              <w:t>Me facilitó mucho trabajar sobre un estándar ya definido: la especificación de la CMF entrega un contrato cerrado y eso elimina las discusiones de diseño. También ayudó haber fijado el contrato de datos entre el backend y la aplicación antes de construir pantallas, porque me permitió avanzar contra datos simulados sin quedar esperando; las pruebas automatizadas, que hoy son 105 entre la aplicación y el backend; y que la retroalimentación del docente fuera concreta: pidió el panel de gasto de los últimos meses y mostrar los pagos nuevos, y ambas cosas están hechas.</w:t>
            </w:r>
          </w:p>
          <w:p>
            <w:pPr>
              <w:spacing w:after="160" w:line="276" w:lineRule="auto"/>
              <w:jc w:val="both"/>
            </w:pPr>
            <w:r>
              <w:t>Lo que más costó fue la integración entre ambos. Trabajamos en ramas que se alejaron demasiado de la principal y terminamos construyendo lo mismo dos veces: el panel y la bandeja de revisión quedaron hechos sobre arquitecturas distintas —una contra datos locales y otra contra el backend real— y reconciliarlos costó más que haberlos programado. A eso se sumó que no obtuvimos acceso al sandbox ATENA de la CMF pese a la consulta formal, lo que obligó a construir el simulador completo, y que no mantuvimos actualizado el porcentaje de avance en la carta Gantt, de modo que no vimos a tiempo qué se estaba atrasando.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pPr>
              <w:spacing w:after="160" w:line="276" w:lineRule="auto"/>
              <w:jc w:val="both"/>
            </w:pPr>
            <w:r>
              <w:t>Mi criterio fue buscar la causa antes que el parche, y dejar la decisión escrita en el código o en la documentación para que no se perdiera.</w:t>
            </w:r>
          </w:p>
          <w:p>
            <w:pPr>
              <w:spacing w:after="160" w:line="276" w:lineRule="auto"/>
              <w:jc w:val="both"/>
            </w:pPr>
            <w:r>
              <w:t>Ante la falta de acceso al sandbox, construí el simulador contra el Anexo N°3 de la norma y dejé declarado en el repositorio qué partes del estándar están implementadas y cuáles no. Esa decisión me obligó después a corregir algo incómodo: el README del proyecto listaba mTLS y Authlib entre las tecnologías usadas y ninguna de las dos está en el código. Lo cambié y agregué al lado qué falta de FAPI 2.0 y dónde entraría. Prefiero declarar el límite que insinuar una conformidad que no puedo mostrar funcionando, sobre todo porque es lo primero que un evaluador con criterio va a pedir ver.</w:t>
            </w:r>
          </w:p>
          <w:p>
            <w:pPr>
              <w:spacing w:after="160" w:line="276" w:lineRule="auto"/>
              <w:jc w:val="both"/>
            </w:pPr>
            <w:r>
              <w:t>Ante la dependencia del clasificador, en vez de esperar construí la interfaz que lo expone: amplié el contrato de datos con los campos de origen de la clasificación y confianza, y la pantalla de detalle ya muestra quién clasificó cada movimiento y con cuánta seguridad. Cuando el modelo se integre, basta con poblar esos dos campos. Desacoplé el bloqueo en lugar de quedarme detenido por él.</w:t>
            </w:r>
          </w:p>
          <w:p>
            <w:pPr>
              <w:spacing w:after="160" w:line="276" w:lineRule="auto"/>
              <w:jc w:val="both"/>
            </w:pPr>
            <w:r>
              <w:t>Ante un defecto de datos duplicados, donde el gasto mensual aparecía al doble del ingreso, no me limité a borrar y recargar: la causa era que la fórmula de la huella de deduplicación había cambiado entre dos ingestas, así que el mismo movimiento entraba dos veces con huellas distintas. Corregí la causa en el pipeline y documenté un procedimiento de verificación reproducible en el README del backend.</w:t>
            </w:r>
          </w:p>
          <w:p>
            <w:pPr>
              <w:spacing w:after="160" w:line="276" w:lineRule="auto"/>
              <w:jc w:val="both"/>
            </w:pPr>
            <w:r>
              <w:t>Para lo que queda, el riesgo principal sigue siendo la integración, así que me comprometo a trabajar en ramas cortas e integrar mediante pull requests pequeños revisados por Pedro, a acordar con él los cambios de arquitectura antes de programarlos para no volver a duplicar trabajo, y a revisar la carta Gantt cada semana con el avance real. También quiero cerrar la brecha de documentación: el sistema está bastante más adelantado que el informe.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p>
          <w:p>
            <w:pPr>
              <w:spacing w:after="160" w:line="276" w:lineRule="auto"/>
              <w:jc w:val="both"/>
            </w:pPr>
            <w:r>
              <w:t>Evalúo mi trabajo como sólido en lo técnico y claramente mejorable en lo colaborativo y en lo documental.</w:t>
            </w:r>
          </w:p>
          <w:p>
            <w:pPr>
              <w:spacing w:after="160" w:line="276" w:lineRule="auto"/>
              <w:jc w:val="both"/>
            </w:pPr>
            <w:r>
              <w:t>Lo que destaco es la profundidad técnica. El motor de proyección es el mejor ejemplo: el prototipo anterior respondía "¿cuándo puedo comprar esto?" con una división, que supone que todos los meses sobra lo mismo, y eso no pasa nunca. Lo reemplacé por una simulación de Monte Carlo que remuestrea los excedentes mensuales reales de la persona y entrega la respuesta con probabilidad. No me conformé con que funcionara: escribí 21 pruebas que verifican propiedades del motor y no valores fijos, y sembré el generador aleatorio para que la simulación sea reproducible y, por lo tanto, verificable.</w:t>
            </w:r>
          </w:p>
          <w:p>
            <w:pPr>
              <w:spacing w:after="160" w:line="276" w:lineRule="auto"/>
              <w:jc w:val="both"/>
            </w:pPr>
            <w:r>
              <w:t>También destaco haber sido riguroso en no sobrevender. Tanto el clasificador como el motor de proyección están diseñados para abstenerse cuando no tienen datos suficientes, en vez de entregar un resultado poco confiable. En una aplicación que maneja dinero, una cifra equivocada se propaga en silencio a los totales y a las proyecciones, mientras que un dato sin clasificar queda visible y el usuario lo corrige.</w:t>
            </w:r>
          </w:p>
          <w:p>
            <w:pPr>
              <w:spacing w:after="160" w:line="276" w:lineRule="auto"/>
              <w:jc w:val="both"/>
            </w:pPr>
            <w:r>
              <w:t>Lo que debo mejorar es, en primer lugar, haber asumido demasiado trabajo. La división de responsabilidades que acordamos era clara, pero el volumen terminó desigual: una parte importante de los commits del repositorio son míos. En parte fue por avanzar sin quedarme bloqueado y en parte por entusiasmo, pero el efecto es que la evidencia individual de mi compañero quedó menor de lo que debería, y eso perjudica al equipo en un criterio que la asignatura evalúa de forma explícita. Avanzar rápido yo solo no es lo mismo que avanzar como equipo.</w:t>
            </w:r>
          </w:p>
          <w:p>
            <w:pPr>
              <w:spacing w:after="160" w:line="276" w:lineRule="auto"/>
              <w:jc w:val="both"/>
            </w:pPr>
            <w:r>
              <w:t>En segundo lugar, la documentación formal quedó atrás del código: hay decisiones de diseño bien argumentadas que hoy solo viven en comentarios dentro del repositorio y todavía no están en el informe, que es donde se evalúan. Y en tercer lugar, debí pedir ayuda antes: en el defecto de los datos duplicados perdí varias horas diagnosticando solo algo que entre los dos habríamos encontrado más rápido.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pPr>
              <w:spacing w:after="160" w:line="276" w:lineRule="auto"/>
              <w:jc w:val="both"/>
            </w:pPr>
            <w:r>
              <w:t>Me quedan tres inquietudes concretas sobre cómo seguir.</w:t>
            </w:r>
          </w:p>
          <w:p>
            <w:pPr>
              <w:spacing w:after="160" w:line="276" w:lineRule="auto"/>
              <w:jc w:val="both"/>
            </w:pPr>
            <w:r>
              <w:t>La primera es hasta dónde debe llegar el simulador. Construirlo consumió bastante más tiempo del presupuestado porque no tuvimos acceso a ATENA. ¿Conviene invertir en implementar las capas que faltan del estándar —mTLS y firma JWS— aunque las estemos probando contra un simulador que escribimos nosotros mismos, o rinde más dejarlas documentadas como fuera de alcance y usar ese tiempo en las capas de análisis de datos, que es donde está la complejidad que justifica el proyecto?</w:t>
            </w:r>
          </w:p>
          <w:p>
            <w:pPr>
              <w:spacing w:after="160" w:line="276" w:lineRule="auto"/>
              <w:jc w:val="both"/>
            </w:pPr>
            <w:r>
              <w:t>La segunda es cómo dejar evidencia del aporte individual cuando el trabajo es muy acoplado. Hay bloques en que las tareas no son piezas independientes sino pasos de un mismo flujo, y partirlas artificialmente para que cada uno tenga su commit sería forzar algo que técnicamente no tiene sentido. Me gustaría saber qué forma de registro se considera adecuada en ese caso.</w:t>
            </w:r>
          </w:p>
          <w:p>
            <w:pPr>
              <w:spacing w:after="160" w:line="276" w:lineRule="auto"/>
              <w:jc w:val="both"/>
            </w:pPr>
            <w:r>
              <w:t>La tercera es cómo se valora la abstención. Diseñamos el clasificador y el motor de proyección para responder "no tengo datos suficientes" antes que entregar un resultado dudoso. Estoy convencido de que es lo correcto en una aplicación financiera, pero en una demostración se ve como una funcionalidad que no responde, y no sé cómo presentarla para que se lea como rigor y no como una carencia.</w:t>
            </w:r>
          </w:p>
          <w:p>
            <w:pPr>
              <w:spacing w:after="160" w:line="276" w:lineRule="auto"/>
              <w:jc w:val="both"/>
            </w:pPr>
            <w:r>
              <w:t>La pregunta que me gustaría hacerle directamente al docente es cuál de los frentes pendientes pesa más en la evaluación final: las capas de inteligencia sobre los datos, la profundidad en el cumplimiento del estándar SFA, o las funcionalidades de cumplimiento de la Ley 21.719. A mis pares les preguntaría cómo organizan la integración cuando dos personas trabajan sobre los mismos archivos, porque es lo que más nos costó.</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pPr>
              <w:spacing w:after="160" w:line="276" w:lineRule="auto"/>
              <w:jc w:val="both"/>
            </w:pPr>
            <w:r>
              <w:t>Sí, y creo que es la corrección más urgente que tenemos. No porque el reparto de responsabilidades estuviera mal planteado —estaba claro y era complementario— sino porque el volumen de trabajo terminó desigual respecto de lo planificado, y eso se nota en el historial del repositorio. Ya habíamos identificado el riesgo en la Fase 1, cuando el reparto proyectado daba 70/30, pero la medida correctiva quedó pendiente de acuerdo y no la aplicamos a tiempo. La lección de gestión es que identificar un riesgo no equivale a gestionarlo: necesita fecha y responsable, igual que cualquier otra tarea.</w:t>
            </w:r>
          </w:p>
          <w:p>
            <w:pPr>
              <w:spacing w:after="160" w:line="276" w:lineRule="auto"/>
              <w:jc w:val="both"/>
            </w:pPr>
            <w:r>
              <w:t>Propongo traspasar a Pedro tres actividades que están en su línea de trabajo: completar la detección de gastos recurrentes, que él ya inició dentro de la ingesta; integrar el clasificador al backend y a la API, por ser quien desarrolló el modelo; y la persistencia de las correcciones del usuario, que toca base de datos. A cambio tomo las pantallas restantes de cumplimiento de la Ley 21.719, que continúan la de consentimiento que ya construí.</w:t>
            </w:r>
          </w:p>
          <w:p>
            <w:pPr>
              <w:spacing w:after="160" w:line="276" w:lineRule="auto"/>
              <w:jc w:val="both"/>
            </w:pPr>
            <w:r>
              <w:t>Hay cuatro actividades nuevas que no estaban en la carta Gantt. La primera es la reconciliación de las ramas que hoy están separadas, que Pedro propone asumir y me parece correcto, con mi revisión en lo que afecte a la aplicación y al simulador. La segunda surgió al construir el consentimiento por finalidad: el reentrenamiento del modelo debe filtrar por los usuarios que lo autorizaron, porque un consentimiento que el código que usa los datos no consulta no tiene efecto real. Las otras dos son compartidas: actualizar la carta Gantt cada semana con el avance real, y revisarnos mutuamente los pull requests antes de integrarlos.</w:t>
            </w:r>
          </w:p>
          <w:p>
            <w:pPr>
              <w:spacing w:after="160" w:line="276" w:lineRule="auto"/>
              <w:jc w:val="both"/>
            </w:pPr>
            <w:r>
              <w:t>Más allá del reparto de tareas, propongo un acuerdo de método: que cada uno suba commits propios al menos dos veces por semana aunque el trabajo esté incompleto. Las dos cosas que se nos atrasaron comparten la misma causa —el trabajo se quedó fuera del repositorio mientras estaba en desarrollo— y eso ataca el problema en el origen y mantiene al día la evidencia individual.</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pPr>
              <w:spacing w:after="160" w:line="276" w:lineRule="auto"/>
              <w:jc w:val="both"/>
            </w:pPr>
            <w:r>
              <w:t>Evalúo el trabajo en grupo como bueno en lo humano y en la calidad técnica del resultado, y deficiente en la distribución de la carga.</w:t>
            </w:r>
          </w:p>
          <w:p>
            <w:pPr>
              <w:spacing w:after="160" w:line="276" w:lineRule="auto"/>
              <w:jc w:val="both"/>
            </w:pPr>
            <w:r>
              <w:t>Entre lo positivo destaco que la división de responsabilidades fue clara y complementaria: yo a cargo del simulador y el cliente del estándar, Pedro del backend y las bases de datos, y ambos en la aplicación móvil. La comunicación técnica también funcionó: cuando un cambio afectaba al otro, se avisó por escrito y con su justificación. El mejor ejemplo es la propuesta de ajustes al esquema de la tabla de transacciones, que explicaba por qué el banco reenvía el mismo identificador con otro monto y cómo debía resolverse en la base de datos.</w:t>
            </w:r>
          </w:p>
          <w:p>
            <w:pPr>
              <w:spacing w:after="160" w:line="276" w:lineRule="auto"/>
              <w:jc w:val="both"/>
            </w:pPr>
            <w:r>
              <w:t>Destaco también que compartimos el criterio de fondo: que el sistema no invente datos, que las decisiones queden documentadas y que no se afirme más de lo que se puede demostrar. Eso nos ahorró discusiones. Y la revisión cruzada funcionó de verdad: cuando uno integra el trabajo del otro lo revisa, y así detectamos el problema de los datos duplicados y la pérdida accidental de las dependencias de pruebas.</w:t>
            </w:r>
          </w:p>
          <w:p>
            <w:pPr>
              <w:spacing w:after="160" w:line="276" w:lineRule="auto"/>
              <w:jc w:val="both"/>
            </w:pPr>
            <w:r>
              <w:t>Lo que debemos mejorar es, primero, la coordinación al integrar. Avanzamos en paralelo sobre ramas que se alejaron de la principal y terminamos con dos versiones de la aplicación sobre arquitecturas distintas; reconciliarlas costó más que escribirlas. Segundo, el desbalance de volumen que mencioné antes, que detectamos temprano y no corregimos a tiempo. Tercero, nos falta una instancia fija de coordinación: nos comunicamos bien, pero de forma reactiva, y una reunión corta y fija cada semana habría hecho evidente el desbalance mucho antes.</w:t>
            </w:r>
          </w:p>
          <w:p>
            <w:pPr>
              <w:spacing w:after="160" w:line="276" w:lineRule="auto"/>
              <w:jc w:val="both"/>
            </w:pPr>
            <w:r>
              <w:t>Por último, trabajar con bases de datos locales independientes nos pasó la cuenta. Es correcto desde el punto de vista de la reproducibilidad, pero significa que un problema de datos que uno ve, el otro no lo observa. Conviene acordar un conjunto de datos de prueba común y versionado.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