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2B29CFD" w14:textId="12228CA9" w:rsidR="0003309E" w:rsidRDefault="0003309E" w:rsidP="00585A13">
            <w:pPr>
              <w:jc w:val="both"/>
              <w:rPr>
                <w:rFonts w:ascii="Calibri" w:hAnsi="Calibri" w:cs="Arial"/>
                <w:i/>
                <w:color w:val="548DD4"/>
                <w:sz w:val="20"/>
                <w:szCs w:val="20"/>
                <w:lang w:eastAsia="es-CL"/>
              </w:rPr>
            </w:pPr>
            <w:r>
              <w:rPr>
                <w:b w:val="0"/>
              </w:rPr>
              <w:t>Velvet Wallet es una aplicación móvil de finanzas personales que actúa como consumidor del Sistema de Finanzas Abiertas (SFA) chileno. Al cierre de la semana 9 el sistema está operativo de extremo a extremo: una institución financiera simulada entrega movimientos por API conforme al Anexo N°3 de la NCG N°514, el backend los ingiere y normaliza hacia un modelo canónico, y la aplicación móvil los presenta al usuario.</w:t>
            </w:r>
          </w:p>
          <w:p w14:paraId="62B29CFD" w14:textId="12228CA9" w:rsidR="0003309E" w:rsidRDefault="0003309E" w:rsidP="00585A13">
            <w:pPr>
              <w:jc w:val="both"/>
              <w:rPr>
                <w:rFonts w:ascii="Calibri" w:hAnsi="Calibri" w:cs="Arial"/>
                <w:i/>
                <w:color w:val="548DD4"/>
                <w:sz w:val="20"/>
                <w:szCs w:val="20"/>
                <w:lang w:eastAsia="es-CL"/>
              </w:rPr>
            </w:pPr>
          </w:p>
          <w:p w14:paraId="62B29CFD" w14:textId="12228CA9" w:rsidR="0003309E" w:rsidRDefault="0003309E" w:rsidP="00585A13">
            <w:pPr>
              <w:jc w:val="both"/>
              <w:rPr>
                <w:rFonts w:ascii="Calibri" w:hAnsi="Calibri" w:cs="Arial"/>
                <w:i/>
                <w:color w:val="548DD4"/>
                <w:sz w:val="20"/>
                <w:szCs w:val="20"/>
                <w:lang w:eastAsia="es-CL"/>
              </w:rPr>
            </w:pPr>
            <w:r>
              <w:rPr>
                <w:b/>
              </w:rPr>
              <w:t>Objetivos específicos cumplidos</w:t>
            </w:r>
          </w:p>
          <w:p w14:paraId="62B29CFD" w14:textId="12228CA9" w:rsidR="0003309E" w:rsidRDefault="0003309E" w:rsidP="00585A13">
            <w:pPr>
              <w:jc w:val="both"/>
              <w:rPr>
                <w:rFonts w:ascii="Calibri" w:hAnsi="Calibri" w:cs="Arial"/>
                <w:i/>
                <w:color w:val="548DD4"/>
                <w:sz w:val="20"/>
                <w:szCs w:val="20"/>
                <w:lang w:eastAsia="es-CL"/>
              </w:rPr>
            </w:pPr>
            <w:r>
              <w:rPr>
                <w:b w:val="0"/>
              </w:rPr>
              <w:t>OE-1 (pipeline de ingesta): cumplido. El pipeline normaliza y deduplica movimientos hacia un modelo canónico único. La deduplicación opera por clave natural (cuenta, identificador externo) y distingue tres resultados por movimiento —nuevo, actualizado y sin cambios—, lo que permite verificar que una resincronización no duplica datos.</w:t>
            </w:r>
          </w:p>
          <w:p w14:paraId="62B29CFD" w14:textId="12228CA9" w:rsidR="0003309E" w:rsidRDefault="0003309E" w:rsidP="00585A13">
            <w:pPr>
              <w:jc w:val="both"/>
              <w:rPr>
                <w:rFonts w:ascii="Calibri" w:hAnsi="Calibri" w:cs="Arial"/>
                <w:i/>
                <w:color w:val="548DD4"/>
                <w:sz w:val="20"/>
                <w:szCs w:val="20"/>
                <w:lang w:eastAsia="es-CL"/>
              </w:rPr>
            </w:pPr>
            <w:r>
              <w:rPr>
                <w:b w:val="0"/>
              </w:rPr>
              <w:t>OE-2 (consumidor del estándar SFA): cumplido. Se implementó el flujo de autorización completo con OAuth 2.0, solicitud de autorización enviada por canal posterior (PAR), PKCE y parámetro de estado, validado contra un simulador de proveedor de información desarrollado por el equipo. La credencial bancaria del usuario nunca pasa por la aplicación: se ingresa en el sitio de la institución.</w:t>
            </w:r>
          </w:p>
          <w:p w14:paraId="62B29CFD" w14:textId="12228CA9" w:rsidR="0003309E" w:rsidRDefault="0003309E" w:rsidP="00585A13">
            <w:pPr>
              <w:jc w:val="both"/>
              <w:rPr>
                <w:rFonts w:ascii="Calibri" w:hAnsi="Calibri" w:cs="Arial"/>
                <w:i/>
                <w:color w:val="548DD4"/>
                <w:sz w:val="20"/>
                <w:szCs w:val="20"/>
                <w:lang w:eastAsia="es-CL"/>
              </w:rPr>
            </w:pPr>
            <w:r>
              <w:rPr>
                <w:b w:val="0"/>
              </w:rPr>
              <w:t>OE-5 (motor de proyección Monte Carlo): cumplido y adelantado. Estaba planificado para las semanas 11 y 12 y quedó terminado y probado en la semana 9.</w:t>
            </w:r>
          </w:p>
          <w:p w14:paraId="62B29CFD" w14:textId="12228CA9" w:rsidR="0003309E" w:rsidRDefault="0003309E" w:rsidP="00585A13">
            <w:pPr>
              <w:jc w:val="both"/>
              <w:rPr>
                <w:rFonts w:ascii="Calibri" w:hAnsi="Calibri" w:cs="Arial"/>
                <w:i/>
                <w:color w:val="548DD4"/>
                <w:sz w:val="20"/>
                <w:szCs w:val="20"/>
                <w:lang w:eastAsia="es-CL"/>
              </w:rPr>
            </w:pPr>
          </w:p>
          <w:p w14:paraId="62B29CFD" w14:textId="12228CA9" w:rsidR="0003309E" w:rsidRDefault="0003309E" w:rsidP="00585A13">
            <w:pPr>
              <w:jc w:val="both"/>
              <w:rPr>
                <w:rFonts w:ascii="Calibri" w:hAnsi="Calibri" w:cs="Arial"/>
                <w:i/>
                <w:color w:val="548DD4"/>
                <w:sz w:val="20"/>
                <w:szCs w:val="20"/>
                <w:lang w:eastAsia="es-CL"/>
              </w:rPr>
            </w:pPr>
            <w:r>
              <w:rPr>
                <w:b/>
              </w:rPr>
              <w:t>Objetivos específicos en curso</w:t>
            </w:r>
          </w:p>
          <w:p w14:paraId="62B29CFD" w14:textId="12228CA9" w:rsidR="0003309E" w:rsidRDefault="0003309E" w:rsidP="00585A13">
            <w:pPr>
              <w:jc w:val="both"/>
              <w:rPr>
                <w:rFonts w:ascii="Calibri" w:hAnsi="Calibri" w:cs="Arial"/>
                <w:i/>
                <w:color w:val="548DD4"/>
                <w:sz w:val="20"/>
                <w:szCs w:val="20"/>
                <w:lang w:eastAsia="es-CL"/>
              </w:rPr>
            </w:pPr>
            <w:r>
              <w:rPr>
                <w:b w:val="0"/>
              </w:rPr>
              <w:t>OE-3 (clasificación automática): el modelo está construido y medido, pero aún no integrado al backend. La interfaz que lo expone ya está implementada en la aplicación.</w:t>
            </w:r>
          </w:p>
          <w:p w14:paraId="62B29CFD" w14:textId="12228CA9" w:rsidR="0003309E" w:rsidRDefault="0003309E" w:rsidP="00585A13">
            <w:pPr>
              <w:jc w:val="both"/>
              <w:rPr>
                <w:rFonts w:ascii="Calibri" w:hAnsi="Calibri" w:cs="Arial"/>
                <w:i/>
                <w:color w:val="548DD4"/>
                <w:sz w:val="20"/>
                <w:szCs w:val="20"/>
                <w:lang w:eastAsia="es-CL"/>
              </w:rPr>
            </w:pPr>
            <w:r>
              <w:rPr>
                <w:b w:val="0"/>
              </w:rPr>
              <w:t>OE-6 (cumplimiento de la Ley 21.719): iniciado antes de lo planificado. Está operativo el consentimiento específico por finalidad de tratamiento, con vigencia, revocación y registro histórico.</w:t>
            </w:r>
          </w:p>
          <w:p w14:paraId="62B29CFD" w14:textId="12228CA9" w:rsidR="0003309E" w:rsidRDefault="0003309E" w:rsidP="00585A13">
            <w:pPr>
              <w:jc w:val="both"/>
              <w:rPr>
                <w:rFonts w:ascii="Calibri" w:hAnsi="Calibri" w:cs="Arial"/>
                <w:i/>
                <w:color w:val="548DD4"/>
                <w:sz w:val="20"/>
                <w:szCs w:val="20"/>
                <w:lang w:eastAsia="es-CL"/>
              </w:rPr>
            </w:pPr>
          </w:p>
          <w:p w14:paraId="62B29CFD" w14:textId="12228CA9" w:rsidR="0003309E" w:rsidRDefault="0003309E" w:rsidP="00585A13">
            <w:pPr>
              <w:jc w:val="both"/>
              <w:rPr>
                <w:rFonts w:ascii="Calibri" w:hAnsi="Calibri" w:cs="Arial"/>
                <w:i/>
                <w:color w:val="548DD4"/>
                <w:sz w:val="20"/>
                <w:szCs w:val="20"/>
                <w:lang w:eastAsia="es-CL"/>
              </w:rPr>
            </w:pPr>
            <w:r>
              <w:rPr>
                <w:b/>
              </w:rPr>
              <w:t>Objetivo específico no iniciado</w:t>
            </w:r>
          </w:p>
          <w:p w14:paraId="62B29CFD" w14:textId="12228CA9" w:rsidR="0003309E" w:rsidRDefault="0003309E" w:rsidP="00585A13">
            <w:pPr>
              <w:jc w:val="both"/>
              <w:rPr>
                <w:rFonts w:ascii="Calibri" w:hAnsi="Calibri" w:cs="Arial"/>
                <w:i/>
                <w:color w:val="548DD4"/>
                <w:sz w:val="20"/>
                <w:szCs w:val="20"/>
                <w:lang w:eastAsia="es-CL"/>
              </w:rPr>
            </w:pPr>
            <w:r>
              <w:rPr>
                <w:b w:val="0"/>
              </w:rPr>
              <w:t>OE-4 (detección de gastos recurrentes): planificado para las semanas 10 y 11. Es la única actividad del compromiso base que no ha comenzado.</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7777777" w:rsidR="0003309E" w:rsidRPr="00A370C8" w:rsidRDefault="0003309E" w:rsidP="00585A13">
            <w:pPr>
              <w:jc w:val="both"/>
              <w:rPr>
                <w:rFonts w:ascii="Calibri" w:hAnsi="Calibri" w:cs="Arial"/>
                <w:b/>
                <w:i/>
                <w:color w:val="548DD4"/>
                <w:sz w:val="20"/>
                <w:szCs w:val="20"/>
                <w:lang w:eastAsia="es-CL"/>
              </w:rPr>
            </w:pPr>
            <w:r>
              <w:rPr>
                <w:b w:val="0"/>
              </w:rPr>
              <w:t>Los seis objetivos específicos se mantienen sin modificación. Se precisa únicamente la meta que el documento de Fase 1 dejó pendiente de forma deliberada.</w:t>
            </w:r>
          </w:p>
          <w:p w14:paraId="0DD025FA" w14:textId="77777777" w:rsidR="0003309E" w:rsidRPr="00A370C8" w:rsidRDefault="0003309E" w:rsidP="00585A13">
            <w:pPr>
              <w:jc w:val="both"/>
              <w:rPr>
                <w:rFonts w:ascii="Calibri" w:hAnsi="Calibri" w:cs="Arial"/>
                <w:b/>
                <w:i/>
                <w:color w:val="548DD4"/>
                <w:sz w:val="20"/>
                <w:szCs w:val="20"/>
                <w:lang w:eastAsia="es-CL"/>
              </w:rPr>
            </w:pPr>
          </w:p>
          <w:p w14:paraId="0DD025FA" w14:textId="77777777" w:rsidR="0003309E" w:rsidRPr="00A370C8" w:rsidRDefault="0003309E" w:rsidP="00585A13">
            <w:pPr>
              <w:jc w:val="both"/>
              <w:rPr>
                <w:rFonts w:ascii="Calibri" w:hAnsi="Calibri" w:cs="Arial"/>
                <w:b/>
                <w:i/>
                <w:color w:val="548DD4"/>
                <w:sz w:val="20"/>
                <w:szCs w:val="20"/>
                <w:lang w:eastAsia="es-CL"/>
              </w:rPr>
            </w:pPr>
            <w:r>
              <w:rPr>
                <w:b w:val="0"/>
              </w:rPr>
              <w:t>Precisión del objetivo específico 3. El enunciado original comprometía "una precisión mínima de [definir en semana 6]% sobre el conjunto de prueba", con la justificación explícita de que fijar un número antes de medir el baseline exponía al equipo a incumplir un objetivo formal. Medido el baseline, la meta queda establecida en 85% de precisión con una cobertura mínima del 80%, es decir, el modelo puede abstenerse de clasificar hasta un 20% de los movimientos antes que entregar una categoría poco confiable.</w:t>
            </w:r>
          </w:p>
          <w:p w14:paraId="0DD025FA" w14:textId="77777777" w:rsidR="0003309E" w:rsidRPr="00A370C8" w:rsidRDefault="0003309E" w:rsidP="00585A13">
            <w:pPr>
              <w:jc w:val="both"/>
              <w:rPr>
                <w:rFonts w:ascii="Calibri" w:hAnsi="Calibri" w:cs="Arial"/>
                <w:b/>
                <w:i/>
                <w:color w:val="548DD4"/>
                <w:sz w:val="20"/>
                <w:szCs w:val="20"/>
                <w:lang w:eastAsia="es-CL"/>
              </w:rPr>
            </w:pPr>
          </w:p>
          <w:p w14:paraId="0DD025FA" w14:textId="77777777" w:rsidR="0003309E" w:rsidRPr="00A370C8" w:rsidRDefault="0003309E" w:rsidP="00585A13">
            <w:pPr>
              <w:jc w:val="both"/>
              <w:rPr>
                <w:rFonts w:ascii="Calibri" w:hAnsi="Calibri" w:cs="Arial"/>
                <w:b/>
                <w:i/>
                <w:color w:val="548DD4"/>
                <w:sz w:val="20"/>
                <w:szCs w:val="20"/>
                <w:lang w:eastAsia="es-CL"/>
              </w:rPr>
            </w:pPr>
            <w:r>
              <w:rPr>
                <w:b w:val="0"/>
              </w:rPr>
              <w:t>La abstención forma parte del objetivo y no es una concesión. En una aplicación que maneja dinero, una categoría equivocada es peor que la ausencia de categoría: el movimiento sin clasificar queda visible en una bandeja de revisión y el usuario lo corrige, mientras que una categoría equivocada se propaga en silencio a los totales del panel y a las proyecciones de ahorro. El mismo criterio se aplicó al motor de proyección, que se abstiene de proyectar cuando hay menos de tres meses de historial.</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7777777" w:rsidR="0003309E" w:rsidRPr="00711C16" w:rsidRDefault="0003309E" w:rsidP="00585A13">
            <w:pPr>
              <w:jc w:val="both"/>
              <w:rPr>
                <w:rFonts w:ascii="Calibri" w:hAnsi="Calibri" w:cs="Arial"/>
                <w:i/>
                <w:color w:val="548DD4"/>
                <w:sz w:val="20"/>
                <w:szCs w:val="20"/>
                <w:lang w:eastAsia="es-CL"/>
              </w:rPr>
            </w:pPr>
            <w:r>
              <w:rPr>
                <w:b w:val="0"/>
              </w:rPr>
              <w:t>La metodología se mantiene sin ajuste: ágil, con enfoque iterativo e incremental organizado por capas funcionales. Cada capa —ingesta, consumidor del SFA, clasificación, recurrencias, proyección, cumplimiento normativo y aplicación móvil— se construye, prueba y documenta antes de integrarse a la rama principal.</w:t>
            </w:r>
          </w:p>
          <w:p w14:paraId="0908C15F" w14:textId="77777777" w:rsidR="0003309E" w:rsidRPr="00711C16" w:rsidRDefault="0003309E" w:rsidP="00585A13">
            <w:pPr>
              <w:jc w:val="both"/>
              <w:rPr>
                <w:rFonts w:ascii="Calibri" w:hAnsi="Calibri" w:cs="Arial"/>
                <w:i/>
                <w:color w:val="548DD4"/>
                <w:sz w:val="20"/>
                <w:szCs w:val="20"/>
                <w:lang w:eastAsia="es-CL"/>
              </w:rPr>
            </w:pPr>
          </w:p>
          <w:p w14:paraId="0908C15F" w14:textId="77777777" w:rsidR="0003309E" w:rsidRPr="00711C16" w:rsidRDefault="0003309E" w:rsidP="00585A13">
            <w:pPr>
              <w:jc w:val="both"/>
              <w:rPr>
                <w:rFonts w:ascii="Calibri" w:hAnsi="Calibri" w:cs="Arial"/>
                <w:i/>
                <w:color w:val="548DD4"/>
                <w:sz w:val="20"/>
                <w:szCs w:val="20"/>
                <w:lang w:eastAsia="es-CL"/>
              </w:rPr>
            </w:pPr>
            <w:r>
              <w:rPr>
                <w:b w:val="0"/>
              </w:rPr>
              <w:t>Se mantiene porque operó efectivamente durante esta fase. El mecanismo de control definido en Fase 1 establece que, ante una desviación, la variable de ajuste es el alcance y no la calidad ni el plazo, dado que los plazos los fija la asignatura. Ese mecanismo se activó dos veces más durante la Fase 2:</w:t>
            </w:r>
          </w:p>
          <w:p w14:paraId="0908C15F" w14:textId="77777777" w:rsidR="0003309E" w:rsidRPr="00711C16" w:rsidRDefault="0003309E" w:rsidP="00585A13">
            <w:pPr>
              <w:jc w:val="both"/>
              <w:rPr>
                <w:rFonts w:ascii="Calibri" w:hAnsi="Calibri" w:cs="Arial"/>
                <w:i/>
                <w:color w:val="548DD4"/>
                <w:sz w:val="20"/>
                <w:szCs w:val="20"/>
                <w:lang w:eastAsia="es-CL"/>
              </w:rPr>
            </w:pPr>
          </w:p>
          <w:p w14:paraId="0908C15F" w14:textId="77777777" w:rsidR="0003309E" w:rsidRPr="00711C16" w:rsidRDefault="0003309E" w:rsidP="00585A13">
            <w:pPr>
              <w:jc w:val="both"/>
              <w:rPr>
                <w:rFonts w:ascii="Calibri" w:hAnsi="Calibri" w:cs="Arial"/>
                <w:i/>
                <w:color w:val="548DD4"/>
                <w:sz w:val="20"/>
                <w:szCs w:val="20"/>
                <w:lang w:eastAsia="es-CL"/>
              </w:rPr>
            </w:pPr>
            <w:r>
              <w:rPr>
                <w:b w:val="0"/>
              </w:rPr>
              <w:t>Primera activación. Al no obtener acceso al sandbox ATENA de la Comisión para el Mercado Financiero, el equipo debió construir un simulador de proveedor de información. El costo real superó en aproximadamente 3,75 semanas-persona lo presupuestado. Se absorbió reduciendo el alcance del simulador a la consulta de datos y declarando fuera de alcance las capas del perfil FAPI 2.0 que no pueden ejercitarse contra un simulador propio.</w:t>
            </w:r>
          </w:p>
          <w:p w14:paraId="0908C15F" w14:textId="77777777" w:rsidR="0003309E" w:rsidRPr="00711C16" w:rsidRDefault="0003309E" w:rsidP="00585A13">
            <w:pPr>
              <w:jc w:val="both"/>
              <w:rPr>
                <w:rFonts w:ascii="Calibri" w:hAnsi="Calibri" w:cs="Arial"/>
                <w:i/>
                <w:color w:val="548DD4"/>
                <w:sz w:val="20"/>
                <w:szCs w:val="20"/>
                <w:lang w:eastAsia="es-CL"/>
              </w:rPr>
            </w:pPr>
          </w:p>
          <w:p w14:paraId="0908C15F" w14:textId="77777777" w:rsidR="0003309E" w:rsidRPr="00711C16" w:rsidRDefault="0003309E" w:rsidP="00585A13">
            <w:pPr>
              <w:jc w:val="both"/>
              <w:rPr>
                <w:rFonts w:ascii="Calibri" w:hAnsi="Calibri" w:cs="Arial"/>
                <w:i/>
                <w:color w:val="548DD4"/>
                <w:sz w:val="20"/>
                <w:szCs w:val="20"/>
                <w:lang w:eastAsia="es-CL"/>
              </w:rPr>
            </w:pPr>
            <w:r>
              <w:rPr>
                <w:b w:val="0"/>
              </w:rPr>
              <w:t>Segunda activación. Ante la indisponibilidad temporal del modelo de clasificación, en lugar de detener el trabajo dependiente se construyó la interfaz que lo expone y se amplió el contrato de datos entre backend y aplicación con los campos de origen de la clasificación y confianza. El bloqueo se desacopló en vez de esperarlo, que es el comportamiento que esta metodología busca.</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C28AC8B" w14:textId="7676AFBF" w:rsidR="0003309E" w:rsidRDefault="0003309E" w:rsidP="00585A13">
            <w:pPr>
              <w:jc w:val="both"/>
              <w:rPr>
                <w:rFonts w:ascii="Calibri" w:hAnsi="Calibri" w:cs="Arial"/>
                <w:i/>
                <w:color w:val="548DD4"/>
                <w:sz w:val="20"/>
                <w:szCs w:val="20"/>
                <w:lang w:eastAsia="es-CL"/>
              </w:rPr>
            </w:pPr>
            <w:r>
              <w:rPr>
                <w:b w:val="0"/>
              </w:rPr>
              <w:t>Se presentan cuatro evidencias, todas verificables en el repositorio público del proyecto (github.com/JossPa/VelvetWallet). Cada una corresponde a una de las tres dimensiones que exige la asignatura: documentación, programación y almacenamiento de datos.</w:t>
            </w:r>
          </w:p>
          <w:p w14:paraId="2C28AC8B" w14:textId="7676AFBF" w:rsidR="0003309E" w:rsidRDefault="0003309E" w:rsidP="00585A13">
            <w:pPr>
              <w:jc w:val="both"/>
              <w:rPr>
                <w:rFonts w:ascii="Calibri" w:hAnsi="Calibri" w:cs="Arial"/>
                <w:i/>
                <w:color w:val="548DD4"/>
                <w:sz w:val="20"/>
                <w:szCs w:val="20"/>
                <w:lang w:eastAsia="es-CL"/>
              </w:rPr>
            </w:pPr>
          </w:p>
          <w:p w14:paraId="2C28AC8B" w14:textId="7676AFBF" w:rsidR="0003309E" w:rsidRDefault="0003309E" w:rsidP="00585A13">
            <w:pPr>
              <w:jc w:val="both"/>
              <w:rPr>
                <w:rFonts w:ascii="Calibri" w:hAnsi="Calibri" w:cs="Arial"/>
                <w:i/>
                <w:color w:val="548DD4"/>
                <w:sz w:val="20"/>
                <w:szCs w:val="20"/>
                <w:lang w:eastAsia="es-CL"/>
              </w:rPr>
            </w:pPr>
            <w:r>
              <w:rPr>
                <w:b/>
              </w:rPr>
              <w:t>Evidencia 1 — Sistema funcionando de extremo a extremo (programación).</w:t>
            </w:r>
          </w:p>
          <w:p w14:paraId="2C28AC8B" w14:textId="7676AFBF" w:rsidR="0003309E" w:rsidRDefault="0003309E" w:rsidP="00585A13">
            <w:pPr>
              <w:jc w:val="both"/>
              <w:rPr>
                <w:rFonts w:ascii="Calibri" w:hAnsi="Calibri" w:cs="Arial"/>
                <w:i/>
                <w:color w:val="548DD4"/>
                <w:sz w:val="20"/>
                <w:szCs w:val="20"/>
                <w:lang w:eastAsia="es-CL"/>
              </w:rPr>
            </w:pPr>
            <w:r>
              <w:rPr>
                <w:b w:val="0"/>
              </w:rPr>
              <w:t>Simulador de institución financiera conforme al Anexo N°3, backend en FastAPI con pipeline de ingesta y normalización, y aplicación móvil en React Native conectada a ese backend. Da cuenta del desarrollo porque recorre la cadena completa: el dato nace en una API que habla el estándar regulatorio, se normaliza a un modelo canónico y llega a una pantalla. No son componentes aislados, es un flujo que se puede ejecutar y observar.</w:t>
            </w:r>
          </w:p>
          <w:p w14:paraId="2C28AC8B" w14:textId="7676AFBF" w:rsidR="0003309E" w:rsidRDefault="0003309E" w:rsidP="00585A13">
            <w:pPr>
              <w:jc w:val="both"/>
              <w:rPr>
                <w:rFonts w:ascii="Calibri" w:hAnsi="Calibri" w:cs="Arial"/>
                <w:i/>
                <w:color w:val="548DD4"/>
                <w:sz w:val="20"/>
                <w:szCs w:val="20"/>
                <w:lang w:eastAsia="es-CL"/>
              </w:rPr>
            </w:pPr>
          </w:p>
          <w:p w14:paraId="2C28AC8B" w14:textId="7676AFBF" w:rsidR="0003309E" w:rsidRDefault="0003309E" w:rsidP="00585A13">
            <w:pPr>
              <w:jc w:val="both"/>
              <w:rPr>
                <w:rFonts w:ascii="Calibri" w:hAnsi="Calibri" w:cs="Arial"/>
                <w:i/>
                <w:color w:val="548DD4"/>
                <w:sz w:val="20"/>
                <w:szCs w:val="20"/>
                <w:lang w:eastAsia="es-CL"/>
              </w:rPr>
            </w:pPr>
            <w:r>
              <w:rPr>
                <w:b/>
              </w:rPr>
              <w:t>Evidencia 2 — Modelo de datos políglota implementado (almacenamiento de datos).</w:t>
            </w:r>
          </w:p>
          <w:p w14:paraId="2C28AC8B" w14:textId="7676AFBF" w:rsidR="0003309E" w:rsidRDefault="0003309E" w:rsidP="00585A13">
            <w:pPr>
              <w:jc w:val="both"/>
              <w:rPr>
                <w:rFonts w:ascii="Calibri" w:hAnsi="Calibri" w:cs="Arial"/>
                <w:i/>
                <w:color w:val="548DD4"/>
                <w:sz w:val="20"/>
                <w:szCs w:val="20"/>
                <w:lang w:eastAsia="es-CL"/>
              </w:rPr>
            </w:pPr>
            <w:r>
              <w:rPr>
                <w:b w:val="0"/>
              </w:rPr>
              <w:t>PostgreSQL almacena el modelo canónico —cuentas, movimientos, categorías, consentimientos y metas— y MongoDB almacena los cargamentos crudos tal como los entrega cada institución. La decisión responde a la arquitectura y no al requisito de la asignatura: los datos que entregan las instituciones no tienen esquema fijo porque cada una responde distinto, y forzarlos a un modelo relacional perdería información que después no se puede recuperar. El entorno completo se levanta con un solo comando mediante Docker Compose, lo que hace el modelo reproducible en cualquier equipo.</w:t>
            </w:r>
          </w:p>
          <w:p w14:paraId="2C28AC8B" w14:textId="7676AFBF" w:rsidR="0003309E" w:rsidRDefault="0003309E" w:rsidP="00585A13">
            <w:pPr>
              <w:jc w:val="both"/>
              <w:rPr>
                <w:rFonts w:ascii="Calibri" w:hAnsi="Calibri" w:cs="Arial"/>
                <w:i/>
                <w:color w:val="548DD4"/>
                <w:sz w:val="20"/>
                <w:szCs w:val="20"/>
                <w:lang w:eastAsia="es-CL"/>
              </w:rPr>
            </w:pPr>
          </w:p>
          <w:p w14:paraId="2C28AC8B" w14:textId="7676AFBF" w:rsidR="0003309E" w:rsidRDefault="0003309E" w:rsidP="00585A13">
            <w:pPr>
              <w:jc w:val="both"/>
              <w:rPr>
                <w:rFonts w:ascii="Calibri" w:hAnsi="Calibri" w:cs="Arial"/>
                <w:i/>
                <w:color w:val="548DD4"/>
                <w:sz w:val="20"/>
                <w:szCs w:val="20"/>
                <w:lang w:eastAsia="es-CL"/>
              </w:rPr>
            </w:pPr>
            <w:r>
              <w:rPr>
                <w:b/>
              </w:rPr>
              <w:t>Evidencia 3 — Motor de proyección Monte Carlo con pruebas unitarias (programación y calidad).</w:t>
            </w:r>
          </w:p>
          <w:p w14:paraId="2C28AC8B" w14:textId="7676AFBF" w:rsidR="0003309E" w:rsidRDefault="0003309E" w:rsidP="00585A13">
            <w:pPr>
              <w:jc w:val="both"/>
              <w:rPr>
                <w:rFonts w:ascii="Calibri" w:hAnsi="Calibri" w:cs="Arial"/>
                <w:i/>
                <w:color w:val="548DD4"/>
                <w:sz w:val="20"/>
                <w:szCs w:val="20"/>
                <w:lang w:eastAsia="es-CL"/>
              </w:rPr>
            </w:pPr>
            <w:r>
              <w:rPr>
                <w:b w:val="0"/>
              </w:rPr>
              <w:t>Responde la pregunta "¿cuándo podré comprar esto?" mediante la simulación de diez mil futuros posibles construidos a partir de los excedentes mensuales efectivamente observados del usuario, en lugar de dividir el monto faltante por un excedente promedio. Es la evidencia más representativa de la complejidad técnica del proyecto y la que mejor documenta una decisión de ingeniería: el prototipo previo usaba la división simple y el uso real demostró que supone una regularidad en el ahorro que no existe.</w:t>
            </w:r>
          </w:p>
          <w:p w14:paraId="2C28AC8B" w14:textId="7676AFBF" w:rsidR="0003309E" w:rsidRDefault="0003309E" w:rsidP="00585A13">
            <w:pPr>
              <w:jc w:val="both"/>
              <w:rPr>
                <w:rFonts w:ascii="Calibri" w:hAnsi="Calibri" w:cs="Arial"/>
                <w:i/>
                <w:color w:val="548DD4"/>
                <w:sz w:val="20"/>
                <w:szCs w:val="20"/>
                <w:lang w:eastAsia="es-CL"/>
              </w:rPr>
            </w:pPr>
          </w:p>
          <w:p w14:paraId="2C28AC8B" w14:textId="7676AFBF" w:rsidR="0003309E" w:rsidRDefault="0003309E" w:rsidP="00585A13">
            <w:pPr>
              <w:jc w:val="both"/>
              <w:rPr>
                <w:rFonts w:ascii="Calibri" w:hAnsi="Calibri" w:cs="Arial"/>
                <w:i/>
                <w:color w:val="548DD4"/>
                <w:sz w:val="20"/>
                <w:szCs w:val="20"/>
                <w:lang w:eastAsia="es-CL"/>
              </w:rPr>
            </w:pPr>
            <w:r>
              <w:rPr>
                <w:b/>
              </w:rPr>
              <w:t>Evidencia 4 — Consentimiento específico por finalidad de tratamiento (documentación y cumplimiento).</w:t>
            </w:r>
          </w:p>
          <w:p w14:paraId="2C28AC8B" w14:textId="7676AFBF" w:rsidR="0003309E" w:rsidRDefault="0003309E" w:rsidP="00585A13">
            <w:pPr>
              <w:jc w:val="both"/>
              <w:rPr>
                <w:rFonts w:ascii="Calibri" w:hAnsi="Calibri" w:cs="Arial"/>
                <w:i/>
                <w:color w:val="548DD4"/>
                <w:sz w:val="20"/>
                <w:szCs w:val="20"/>
                <w:lang w:eastAsia="es-CL"/>
              </w:rPr>
            </w:pPr>
            <w:r>
              <w:rPr>
                <w:b w:val="0"/>
              </w:rPr>
              <w:t>Implementa la exigencia de la Ley 21.719 de obtener consentimiento separado para cada finalidad: autorizar la lectura de los movimientos bancarios no autoriza su uso para entrenar modelos. El consentimiento se otorga desactivado por omisión, vence a los noventa días y, al revocarse, el registro no se elimina sino que se marca, conservando la trazabilidad de que existió y cuándo terminó.</w:t>
            </w:r>
          </w:p>
          <w:p w14:paraId="2C28AC8B" w14:textId="7676AFBF" w:rsidR="0003309E" w:rsidRDefault="0003309E" w:rsidP="00585A13">
            <w:pPr>
              <w:jc w:val="both"/>
              <w:rPr>
                <w:rFonts w:ascii="Calibri" w:hAnsi="Calibri" w:cs="Arial"/>
                <w:i/>
                <w:color w:val="548DD4"/>
                <w:sz w:val="20"/>
                <w:szCs w:val="20"/>
                <w:lang w:eastAsia="es-CL"/>
              </w:rPr>
            </w:pPr>
          </w:p>
          <w:p w14:paraId="2C28AC8B" w14:textId="7676AFBF" w:rsidR="0003309E" w:rsidRDefault="0003309E" w:rsidP="00585A13">
            <w:pPr>
              <w:jc w:val="both"/>
              <w:rPr>
                <w:rFonts w:ascii="Calibri" w:hAnsi="Calibri" w:cs="Arial"/>
                <w:i/>
                <w:color w:val="548DD4"/>
                <w:sz w:val="20"/>
                <w:szCs w:val="20"/>
                <w:lang w:eastAsia="es-CL"/>
              </w:rPr>
            </w:pPr>
            <w:r>
              <w:rPr>
                <w:b/>
              </w:rPr>
              <w:t>Resguardo de la calidad</w:t>
            </w:r>
          </w:p>
          <w:p w14:paraId="2C28AC8B" w14:textId="7676AFBF" w:rsidR="0003309E" w:rsidRDefault="0003309E" w:rsidP="00585A13">
            <w:pPr>
              <w:jc w:val="both"/>
              <w:rPr>
                <w:rFonts w:ascii="Calibri" w:hAnsi="Calibri" w:cs="Arial"/>
                <w:i/>
                <w:color w:val="548DD4"/>
                <w:sz w:val="20"/>
                <w:szCs w:val="20"/>
                <w:lang w:eastAsia="es-CL"/>
              </w:rPr>
            </w:pPr>
            <w:r>
              <w:rPr>
                <w:b w:val="0"/>
              </w:rPr>
              <w:t>La calidad se resguardó con tres prácticas propias de la disciplina. Primero, pruebas automatizadas: el proyecto cuenta con 105 pruebas (84 sobre la aplicación móvil con Jest y 21 sobre el backend con pytest), que verifican propiedades del sistema y no valores fijos. Segundo, reproducibilidad: el entorno completo se levanta con Docker Compose y la simulación de Monte Carlo usa un generador con semilla fija, de modo que la misma entrada produce siempre la misma salida y el resultado es verificable. Tercero, trazabilidad del aporte individual: convención de Conventional Commits y cuenta propia por integrante, de forma que el historial del repositorio documenta quién hizo qué.</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jc w:val="both"/>
              <w:rPr>
                <w:b/>
                <w:sz w:val="18"/>
                <w:szCs w:val="24"/>
              </w:rPr>
            </w:pPr>
            <w:r>
              <w:rPr>
                <w:b w:val="0"/>
                <w:sz w:val="16"/>
              </w:rPr>
              <w:t>5. Estándares y marcos regulatorios</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b w:val="0"/>
                <w:sz w:val="16"/>
              </w:rPr>
              <w:t>Cliente del SFA y simulador de proveedor de información</w:t>
            </w:r>
          </w:p>
        </w:tc>
        <w:tc>
          <w:tcPr>
            <w:tcW w:w="1276" w:type="dxa"/>
          </w:tcPr>
          <w:p w14:paraId="16E191DF" w14:textId="77777777" w:rsidR="00FD5149" w:rsidRPr="006E3B0D" w:rsidRDefault="00FD5149" w:rsidP="00FD5149">
            <w:pPr>
              <w:jc w:val="both"/>
              <w:rPr>
                <w:b/>
                <w:sz w:val="18"/>
                <w:szCs w:val="24"/>
              </w:rPr>
            </w:pPr>
            <w:r>
              <w:rPr>
                <w:b w:val="0"/>
                <w:sz w:val="16"/>
              </w:rPr>
              <w:t>Python, FastAPI, httpx, especificación NCG N°514 Anexo N°3</w:t>
            </w:r>
          </w:p>
        </w:tc>
        <w:tc>
          <w:tcPr>
            <w:tcW w:w="1276" w:type="dxa"/>
          </w:tcPr>
          <w:p w14:paraId="66A5D860" w14:textId="77777777" w:rsidR="00FD5149" w:rsidRPr="006E3B0D" w:rsidRDefault="00FD5149" w:rsidP="00FD5149">
            <w:pPr>
              <w:jc w:val="both"/>
              <w:rPr>
                <w:b/>
                <w:sz w:val="18"/>
                <w:szCs w:val="24"/>
              </w:rPr>
            </w:pPr>
            <w:r>
              <w:rPr>
                <w:b w:val="0"/>
                <w:sz w:val="16"/>
              </w:rPr>
              <w:t>Semanas 5 a 7</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b w:val="0"/>
                <w:sz w:val="16"/>
              </w:rPr>
              <w:t>Jossue Padrón</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b w:val="0"/>
                <w:sz w:val="16"/>
              </w:rPr>
              <w:t>Dificultad: no se obtuvo acceso al sandbox ATENA de la CMF pese a la consulta formal. Facilitador: la especificación técnica es pública.</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Pr>
                <w:b w:val="0"/>
                <w:sz w:val="16"/>
              </w:rPr>
              <w:t>Completado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b w:val="0"/>
                <w:sz w:val="16"/>
              </w:rPr>
              <w:t>Alcance ampliado: hubo que construir el proveedor además del consumidor. Se excluyen mTLS, firma JWS y registro dinámico de clientes.</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jc w:val="both"/>
              <w:rPr>
                <w:b/>
                <w:sz w:val="18"/>
                <w:szCs w:val="24"/>
              </w:rPr>
            </w:pPr>
            <w:r>
              <w:rPr>
                <w:b w:val="0"/>
                <w:sz w:val="16"/>
              </w:rPr>
              <w:t>2. Bases de datos relacionales y no relacionales</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b w:val="0"/>
                <w:sz w:val="16"/>
              </w:rPr>
              <w:t>Entorno de bases de datos y modelo canónico</w:t>
            </w:r>
          </w:p>
        </w:tc>
        <w:tc>
          <w:tcPr>
            <w:tcW w:w="1276" w:type="dxa"/>
          </w:tcPr>
          <w:p w14:paraId="16E191DF" w14:textId="77777777" w:rsidR="00FD5149" w:rsidRPr="006E3B0D" w:rsidRDefault="00FD5149" w:rsidP="00FD5149">
            <w:pPr>
              <w:jc w:val="both"/>
              <w:rPr>
                <w:b/>
                <w:sz w:val="18"/>
                <w:szCs w:val="24"/>
              </w:rPr>
            </w:pPr>
            <w:r>
              <w:rPr>
                <w:b w:val="0"/>
                <w:sz w:val="16"/>
              </w:rPr>
              <w:t>PostgreSQL, MongoDB, Redis, Docker Compose</w:t>
            </w:r>
          </w:p>
        </w:tc>
        <w:tc>
          <w:tcPr>
            <w:tcW w:w="1276" w:type="dxa"/>
          </w:tcPr>
          <w:p w14:paraId="66A5D860" w14:textId="77777777" w:rsidR="00FD5149" w:rsidRPr="006E3B0D" w:rsidRDefault="00FD5149" w:rsidP="00FD5149">
            <w:pPr>
              <w:jc w:val="both"/>
              <w:rPr>
                <w:b/>
                <w:sz w:val="18"/>
                <w:szCs w:val="24"/>
              </w:rPr>
            </w:pPr>
            <w:r>
              <w:rPr>
                <w:b w:val="0"/>
                <w:sz w:val="16"/>
              </w:rPr>
              <w:t>Semanas 6 a 8</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b w:val="0"/>
                <w:sz w:val="16"/>
              </w:rPr>
              <w:t>Pedro Torres</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b w:val="0"/>
                <w:sz w:val="16"/>
              </w:rPr>
              <w:t>Facilitador: Docker Compose permite que ambos levanten un entorno idéntico con un comando.</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Pr>
                <w:b w:val="0"/>
                <w:sz w:val="16"/>
              </w:rPr>
              <w:t>Completado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b w:val="0"/>
                <w:sz w:val="16"/>
              </w:rPr>
              <w:t>Sin ajustes.</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jc w:val="both"/>
              <w:rPr>
                <w:b/>
                <w:sz w:val="18"/>
                <w:szCs w:val="24"/>
              </w:rPr>
            </w:pPr>
            <w:r>
              <w:rPr>
                <w:b w:val="0"/>
                <w:sz w:val="16"/>
              </w:rPr>
              <w:t>3. Ingeniería de requisitos · 2. Bases de datos</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b w:val="0"/>
                <w:sz w:val="16"/>
              </w:rPr>
              <w:t>Pipeline de ingesta, normalización y deduplicación</w:t>
            </w:r>
          </w:p>
        </w:tc>
        <w:tc>
          <w:tcPr>
            <w:tcW w:w="1276" w:type="dxa"/>
          </w:tcPr>
          <w:p w14:paraId="16E191DF" w14:textId="77777777" w:rsidR="00FD5149" w:rsidRPr="006E3B0D" w:rsidRDefault="00FD5149" w:rsidP="00FD5149">
            <w:pPr>
              <w:jc w:val="both"/>
              <w:rPr>
                <w:b/>
                <w:sz w:val="18"/>
                <w:szCs w:val="24"/>
              </w:rPr>
            </w:pPr>
            <w:r>
              <w:rPr>
                <w:b w:val="0"/>
                <w:sz w:val="16"/>
              </w:rPr>
              <w:t>Python, psycopg, PyMongo, datos del simulador</w:t>
            </w:r>
          </w:p>
        </w:tc>
        <w:tc>
          <w:tcPr>
            <w:tcW w:w="1276" w:type="dxa"/>
          </w:tcPr>
          <w:p w14:paraId="66A5D860" w14:textId="77777777" w:rsidR="00FD5149" w:rsidRPr="006E3B0D" w:rsidRDefault="00FD5149" w:rsidP="00FD5149">
            <w:pPr>
              <w:jc w:val="both"/>
              <w:rPr>
                <w:b/>
                <w:sz w:val="18"/>
                <w:szCs w:val="24"/>
              </w:rPr>
            </w:pPr>
            <w:r>
              <w:rPr>
                <w:b w:val="0"/>
                <w:sz w:val="16"/>
              </w:rPr>
              <w:t>Semanas 6 a 8</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b w:val="0"/>
                <w:sz w:val="16"/>
              </w:rPr>
              <w:t>Pedro Torres</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b w:val="0"/>
                <w:sz w:val="16"/>
              </w:rPr>
              <w:t>Dificultad: el estándar no define un campo de estado pendiente o confirmado; un movimiento confirmado reaparece con el mismo identificador y distinto monto.</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Pr>
                <w:b w:val="0"/>
                <w:sz w:val="16"/>
              </w:rPr>
              <w:t>Completado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b w:val="0"/>
                <w:sz w:val="16"/>
              </w:rPr>
              <w:t>Se agregó deduplicación por clave natural con tres resultados distinguibles: nuevo, actualizado y sin cambios.</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jc w:val="both"/>
              <w:rPr>
                <w:b/>
                <w:sz w:val="18"/>
                <w:szCs w:val="24"/>
              </w:rPr>
            </w:pPr>
            <w:r>
              <w:rPr>
                <w:b w:val="0"/>
                <w:sz w:val="16"/>
              </w:rPr>
              <w:t>6. Plataformas y dispositivos móviles</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b w:val="0"/>
                <w:sz w:val="16"/>
              </w:rPr>
              <w:t>Aplicación móvil: flujos núcleo</w:t>
            </w:r>
          </w:p>
        </w:tc>
        <w:tc>
          <w:tcPr>
            <w:tcW w:w="1276" w:type="dxa"/>
          </w:tcPr>
          <w:p w14:paraId="16E191DF" w14:textId="77777777" w:rsidR="00FD5149" w:rsidRPr="006E3B0D" w:rsidRDefault="00FD5149" w:rsidP="00FD5149">
            <w:pPr>
              <w:jc w:val="both"/>
              <w:rPr>
                <w:b/>
                <w:sz w:val="18"/>
                <w:szCs w:val="24"/>
              </w:rPr>
            </w:pPr>
            <w:r>
              <w:rPr>
                <w:b w:val="0"/>
                <w:sz w:val="16"/>
              </w:rPr>
              <w:t>React Native, Expo, TypeScript</w:t>
            </w:r>
          </w:p>
        </w:tc>
        <w:tc>
          <w:tcPr>
            <w:tcW w:w="1276" w:type="dxa"/>
          </w:tcPr>
          <w:p w14:paraId="66A5D860" w14:textId="77777777" w:rsidR="00FD5149" w:rsidRPr="006E3B0D" w:rsidRDefault="00FD5149" w:rsidP="00FD5149">
            <w:pPr>
              <w:jc w:val="both"/>
              <w:rPr>
                <w:b/>
                <w:sz w:val="18"/>
                <w:szCs w:val="24"/>
              </w:rPr>
            </w:pPr>
            <w:r>
              <w:rPr>
                <w:b w:val="0"/>
                <w:sz w:val="16"/>
              </w:rPr>
              <w:t>Semanas 6 a 13</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b w:val="0"/>
                <w:sz w:val="16"/>
              </w:rPr>
              <w:t>Jossue Padrón</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b w:val="0"/>
                <w:sz w:val="16"/>
              </w:rPr>
              <w:t>Facilitador: definir el contrato de datos antes que las pantallas permitió trabajar en paralelo contra datos simulados.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Pr>
                <w:b w:val="0"/>
                <w:sz w:val="16"/>
              </w:rPr>
              <w:t>En curso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b w:val="0"/>
                <w:sz w:val="16"/>
              </w:rPr>
              <w:t>Cambio de responsable: estaba asignada a Pedro Torres y la tomó Jossue Padrón. Ver sección 3.</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jc w:val="both"/>
              <w:rPr>
                <w:b/>
                <w:sz w:val="18"/>
                <w:szCs w:val="24"/>
              </w:rPr>
            </w:pPr>
            <w:r>
              <w:rPr>
                <w:b w:val="0"/>
                <w:sz w:val="16"/>
              </w:rPr>
              <w:t>1. Soluciones de software de calidad · 3. Ingeniería de requisitos</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b w:val="0"/>
                <w:sz w:val="16"/>
              </w:rPr>
              <w:t>Clasificador automático de transacciones</w:t>
            </w:r>
          </w:p>
        </w:tc>
        <w:tc>
          <w:tcPr>
            <w:tcW w:w="1276" w:type="dxa"/>
          </w:tcPr>
          <w:p w14:paraId="16E191DF" w14:textId="77777777" w:rsidR="00FD5149" w:rsidRPr="006E3B0D" w:rsidRDefault="00FD5149" w:rsidP="00FD5149">
            <w:pPr>
              <w:jc w:val="both"/>
              <w:rPr>
                <w:b/>
                <w:sz w:val="18"/>
                <w:szCs w:val="24"/>
              </w:rPr>
            </w:pPr>
            <w:r>
              <w:rPr>
                <w:b w:val="0"/>
                <w:sz w:val="16"/>
              </w:rPr>
              <w:t>Python, scikit-learn, conjunto de glosas de prueba</w:t>
            </w:r>
          </w:p>
        </w:tc>
        <w:tc>
          <w:tcPr>
            <w:tcW w:w="1276" w:type="dxa"/>
          </w:tcPr>
          <w:p w14:paraId="66A5D860" w14:textId="77777777" w:rsidR="00FD5149" w:rsidRPr="006E3B0D" w:rsidRDefault="00FD5149" w:rsidP="00FD5149">
            <w:pPr>
              <w:jc w:val="both"/>
              <w:rPr>
                <w:b/>
                <w:sz w:val="18"/>
                <w:szCs w:val="24"/>
              </w:rPr>
            </w:pPr>
            <w:r>
              <w:rPr>
                <w:b w:val="0"/>
                <w:sz w:val="16"/>
              </w:rPr>
              <w:t>Semanas 8 a 10</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b w:val="0"/>
                <w:sz w:val="16"/>
              </w:rPr>
              <w:t>Pedro Torres</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b w:val="0"/>
                <w:sz w:val="16"/>
              </w:rPr>
              <w:t>Dificultad: el modelo quedó construido y medido pero no se subió al repositorio a tiempo, bloqueando el trabajo dependiente.</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Pr>
                <w:b w:val="0"/>
                <w:sz w:val="16"/>
              </w:rPr>
              <w:t>En curso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b w:val="0"/>
                <w:sz w:val="16"/>
              </w:rPr>
              <w:t>Se desacopló la dependencia: se construyó la interfaz que lo expone y se amplió el contrato de datos con los campos de origen de la clasificación y confianza.</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jc w:val="both"/>
              <w:rPr>
                <w:b/>
                <w:sz w:val="18"/>
                <w:szCs w:val="24"/>
              </w:rPr>
            </w:pPr>
            <w:r>
              <w:rPr>
                <w:b w:val="0"/>
                <w:sz w:val="16"/>
              </w:rPr>
              <w:t>1. Soluciones de software de calidad</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b w:val="0"/>
                <w:sz w:val="16"/>
              </w:rPr>
              <w:t>Detección de gastos recurrentes y suscripciones</w:t>
            </w:r>
          </w:p>
        </w:tc>
        <w:tc>
          <w:tcPr>
            <w:tcW w:w="1276" w:type="dxa"/>
          </w:tcPr>
          <w:p w14:paraId="16E191DF" w14:textId="77777777" w:rsidR="00FD5149" w:rsidRPr="006E3B0D" w:rsidRDefault="00FD5149" w:rsidP="00FD5149">
            <w:pPr>
              <w:jc w:val="both"/>
              <w:rPr>
                <w:b/>
                <w:sz w:val="18"/>
                <w:szCs w:val="24"/>
              </w:rPr>
            </w:pPr>
            <w:r>
              <w:rPr>
                <w:b w:val="0"/>
                <w:sz w:val="16"/>
              </w:rPr>
              <w:t>Python, NumPy, datos sintéticos</w:t>
            </w:r>
          </w:p>
        </w:tc>
        <w:tc>
          <w:tcPr>
            <w:tcW w:w="1276" w:type="dxa"/>
          </w:tcPr>
          <w:p w14:paraId="66A5D860" w14:textId="77777777" w:rsidR="00FD5149" w:rsidRPr="006E3B0D" w:rsidRDefault="00FD5149" w:rsidP="00FD5149">
            <w:pPr>
              <w:jc w:val="both"/>
              <w:rPr>
                <w:b/>
                <w:sz w:val="18"/>
                <w:szCs w:val="24"/>
              </w:rPr>
            </w:pPr>
            <w:r>
              <w:rPr>
                <w:b w:val="0"/>
                <w:sz w:val="16"/>
              </w:rPr>
              <w:t>Semanas 10 a 11</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b w:val="0"/>
                <w:sz w:val="16"/>
              </w:rPr>
              <w:t>Pedro Torres</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b w:val="0"/>
                <w:sz w:val="16"/>
              </w:rPr>
              <w:t>Es un algoritmo autocontenido, sin dependencias de infraestructura y probable con datos sintéticos.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Pr>
                <w:b w:val="0"/>
                <w:sz w:val="16"/>
              </w:rPr>
              <w:t>No iniciado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b w:val="0"/>
                <w:sz w:val="16"/>
              </w:rPr>
              <w:t>Reasignada de Jossue Padrón a Pedro Torres para equilibrar la carga. Ver sección 3.</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jc w:val="both"/>
              <w:rPr>
                <w:b/>
                <w:sz w:val="18"/>
                <w:szCs w:val="24"/>
              </w:rPr>
            </w:pPr>
            <w:r>
              <w:rPr>
                <w:b w:val="0"/>
                <w:sz w:val="16"/>
              </w:rPr>
              <w:t>1. Soluciones de software de calidad · 3. Ingeniería de requisitos</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b w:val="0"/>
                <w:sz w:val="16"/>
              </w:rPr>
              <w:t>Motor de proyección Monte Carlo</w:t>
            </w:r>
          </w:p>
        </w:tc>
        <w:tc>
          <w:tcPr>
            <w:tcW w:w="1276" w:type="dxa"/>
          </w:tcPr>
          <w:p w14:paraId="16E191DF" w14:textId="77777777" w:rsidR="00FD5149" w:rsidRPr="006E3B0D" w:rsidRDefault="00FD5149" w:rsidP="00FD5149">
            <w:pPr>
              <w:jc w:val="both"/>
              <w:rPr>
                <w:b/>
                <w:sz w:val="18"/>
                <w:szCs w:val="24"/>
              </w:rPr>
            </w:pPr>
            <w:r>
              <w:rPr>
                <w:b w:val="0"/>
                <w:sz w:val="16"/>
              </w:rPr>
              <w:t>Python, NumPy, pytest</w:t>
            </w:r>
          </w:p>
        </w:tc>
        <w:tc>
          <w:tcPr>
            <w:tcW w:w="1276" w:type="dxa"/>
          </w:tcPr>
          <w:p w14:paraId="66A5D860" w14:textId="77777777" w:rsidR="00FD5149" w:rsidRPr="006E3B0D" w:rsidRDefault="00FD5149" w:rsidP="00FD5149">
            <w:pPr>
              <w:jc w:val="both"/>
              <w:rPr>
                <w:b/>
                <w:sz w:val="18"/>
                <w:szCs w:val="24"/>
              </w:rPr>
            </w:pPr>
            <w:r>
              <w:rPr>
                <w:b w:val="0"/>
                <w:sz w:val="16"/>
              </w:rPr>
              <w:t>Semanas 11 a 12</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b w:val="0"/>
                <w:sz w:val="16"/>
              </w:rPr>
              <w:t>Jossue Padrón</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b w:val="0"/>
                <w:sz w:val="16"/>
              </w:rPr>
              <w:t>Facilitador: es un motor determinista dada una semilla, por lo que se puede probar unitariamente de forma exhaustiva.</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Pr>
                <w:b w:val="0"/>
                <w:sz w:val="16"/>
              </w:rPr>
              <w:t>Completado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b w:val="0"/>
                <w:sz w:val="16"/>
              </w:rPr>
              <w:t>Adelantado a la semana 9. Se incorporó pytest, que no estaba contemplado: son las primeras pruebas unitarias del backend.</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jc w:val="both"/>
              <w:rPr>
                <w:b/>
                <w:sz w:val="18"/>
                <w:szCs w:val="24"/>
              </w:rPr>
            </w:pPr>
            <w:r>
              <w:rPr>
                <w:b w:val="0"/>
                <w:sz w:val="16"/>
              </w:rPr>
              <w:t>5. Estándares, marcos regulatorios y seguridad</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b w:val="0"/>
                <w:sz w:val="16"/>
              </w:rPr>
              <w:t>Cumplimiento de la Ley 21.719</w:t>
            </w:r>
          </w:p>
        </w:tc>
        <w:tc>
          <w:tcPr>
            <w:tcW w:w="1276" w:type="dxa"/>
          </w:tcPr>
          <w:p w14:paraId="16E191DF" w14:textId="77777777" w:rsidR="00FD5149" w:rsidRPr="006E3B0D" w:rsidRDefault="00FD5149" w:rsidP="00FD5149">
            <w:pPr>
              <w:jc w:val="both"/>
              <w:rPr>
                <w:b/>
                <w:sz w:val="18"/>
                <w:szCs w:val="24"/>
              </w:rPr>
            </w:pPr>
            <w:r>
              <w:rPr>
                <w:b w:val="0"/>
                <w:sz w:val="16"/>
              </w:rPr>
              <w:t>FastAPI, PostgreSQL, React Native</w:t>
            </w:r>
          </w:p>
        </w:tc>
        <w:tc>
          <w:tcPr>
            <w:tcW w:w="1276" w:type="dxa"/>
          </w:tcPr>
          <w:p w14:paraId="66A5D860" w14:textId="77777777" w:rsidR="00FD5149" w:rsidRPr="006E3B0D" w:rsidRDefault="00FD5149" w:rsidP="00FD5149">
            <w:pPr>
              <w:jc w:val="both"/>
              <w:rPr>
                <w:b/>
                <w:sz w:val="18"/>
                <w:szCs w:val="24"/>
              </w:rPr>
            </w:pPr>
            <w:r>
              <w:rPr>
                <w:b w:val="0"/>
                <w:sz w:val="16"/>
              </w:rPr>
              <w:t>Semanas 12 a 14</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b w:val="0"/>
                <w:sz w:val="16"/>
              </w:rPr>
              <w:t>Jossue Padrón</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b w:val="0"/>
                <w:sz w:val="16"/>
              </w:rPr>
              <w:t>Facilitador: la obligación legal se traduce directamente en funcionalidades verificables.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Pr>
                <w:b w:val="0"/>
                <w:sz w:val="16"/>
              </w:rPr>
              <w:t>En curso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b w:val="0"/>
                <w:sz w:val="16"/>
              </w:rPr>
              <w:t>Adelantada parcialmente a la semana 9. Actividad nueva derivada: el reentrenamiento del modelo debe filtrar por quienes consintieron.</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jc w:val="both"/>
              <w:rPr>
                <w:b/>
                <w:sz w:val="18"/>
                <w:szCs w:val="24"/>
              </w:rPr>
            </w:pPr>
            <w:r>
              <w:rPr>
                <w:b w:val="0"/>
                <w:sz w:val="16"/>
              </w:rPr>
              <w:t>4. Evaluación y gestión de proyectos</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b w:val="0"/>
                <w:sz w:val="16"/>
              </w:rPr>
              <w:t>Integración, pruebas y documentación</w:t>
            </w:r>
          </w:p>
        </w:tc>
        <w:tc>
          <w:tcPr>
            <w:tcW w:w="1276" w:type="dxa"/>
          </w:tcPr>
          <w:p w14:paraId="16E191DF" w14:textId="77777777" w:rsidR="00FD5149" w:rsidRPr="006E3B0D" w:rsidRDefault="00FD5149" w:rsidP="00FD5149">
            <w:pPr>
              <w:jc w:val="both"/>
              <w:rPr>
                <w:b/>
                <w:sz w:val="18"/>
                <w:szCs w:val="24"/>
              </w:rPr>
            </w:pPr>
            <w:r>
              <w:rPr>
                <w:b w:val="0"/>
                <w:sz w:val="16"/>
              </w:rPr>
              <w:t>Git, GitHub, Jest, pytest, Docker</w:t>
            </w:r>
          </w:p>
        </w:tc>
        <w:tc>
          <w:tcPr>
            <w:tcW w:w="1276" w:type="dxa"/>
          </w:tcPr>
          <w:p w14:paraId="66A5D860" w14:textId="77777777" w:rsidR="00FD5149" w:rsidRPr="006E3B0D" w:rsidRDefault="00FD5149" w:rsidP="00FD5149">
            <w:pPr>
              <w:jc w:val="both"/>
              <w:rPr>
                <w:b/>
                <w:sz w:val="18"/>
                <w:szCs w:val="24"/>
              </w:rPr>
            </w:pPr>
            <w:r>
              <w:rPr>
                <w:b w:val="0"/>
                <w:sz w:val="16"/>
              </w:rPr>
              <w:t>Semanas 13 a 16</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b w:val="0"/>
                <w:sz w:val="16"/>
              </w:rPr>
              <w:t>Ambos</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b w:val="0"/>
                <w:sz w:val="16"/>
              </w:rPr>
              <w:t>Dificultad: trabajar con bases de datos locales independientes provoca que un problema de datos que ve un integrante, el otro no lo observe.</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Pr>
                <w:b w:val="0"/>
                <w:sz w:val="16"/>
              </w:rPr>
              <w:t>En curso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b w:val="0"/>
                <w:sz w:val="16"/>
              </w:rPr>
              <w:t>Se adelantó la escritura de pruebas: 105 al cierre de la semana 9.</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jc w:val="both"/>
              <w:rPr>
                <w:rFonts w:ascii="Calibri" w:hAnsi="Calibri" w:cs="Arial"/>
                <w:i/>
                <w:iCs/>
                <w:color w:val="548DD4"/>
                <w:sz w:val="20"/>
                <w:szCs w:val="20"/>
                <w:lang w:eastAsia="es-CL"/>
              </w:rPr>
            </w:pPr>
            <w:r>
              <w:rPr>
                <w:b/>
              </w:rPr>
              <w:t>Factores que han facilitado y/o dificultado el desarrollo de mi plan de trabajo:</w:t>
            </w:r>
          </w:p>
          <w:p w14:paraId="17CE44DE" w14:textId="77777777" w:rsidR="0003309E" w:rsidRPr="00371CBB" w:rsidRDefault="0003309E" w:rsidP="00C5122E">
            <w:pPr>
              <w:jc w:val="both"/>
              <w:rPr>
                <w:rFonts w:ascii="Calibri" w:hAnsi="Calibri" w:cs="Arial"/>
                <w:i/>
                <w:iCs/>
                <w:color w:val="548DD4"/>
                <w:sz w:val="20"/>
                <w:szCs w:val="20"/>
                <w:lang w:eastAsia="es-CL"/>
              </w:rPr>
            </w:pPr>
          </w:p>
          <w:p w14:paraId="17CE44DE" w14:textId="77777777" w:rsidR="0003309E" w:rsidRPr="00371CBB" w:rsidRDefault="0003309E" w:rsidP="00C5122E">
            <w:pPr>
              <w:jc w:val="both"/>
              <w:rPr>
                <w:rFonts w:ascii="Calibri" w:hAnsi="Calibri" w:cs="Arial"/>
                <w:i/>
                <w:iCs/>
                <w:color w:val="548DD4"/>
                <w:sz w:val="20"/>
                <w:szCs w:val="20"/>
                <w:lang w:eastAsia="es-CL"/>
              </w:rPr>
            </w:pPr>
            <w:r>
              <w:rPr>
                <w:b/>
              </w:rPr>
              <w:t>Factores que facilitaron</w:t>
            </w:r>
          </w:p>
          <w:p w14:paraId="17CE44DE" w14:textId="77777777" w:rsidR="0003309E" w:rsidRPr="00371CBB" w:rsidRDefault="0003309E" w:rsidP="00C5122E">
            <w:pPr>
              <w:jc w:val="both"/>
              <w:rPr>
                <w:rFonts w:ascii="Calibri" w:hAnsi="Calibri" w:cs="Arial"/>
                <w:i/>
                <w:iCs/>
                <w:color w:val="548DD4"/>
                <w:sz w:val="20"/>
                <w:szCs w:val="20"/>
                <w:lang w:eastAsia="es-CL"/>
              </w:rPr>
            </w:pPr>
            <w:r>
              <w:rPr>
                <w:b w:val="0"/>
              </w:rPr>
              <w:t>Definición temprana del contrato de datos. Antes de construir pantallas se fijó en un único archivo la forma exacta de cada dato que viaja entre el backend y la aplicación. Esto permitió que ambos integrantes trabajaran en paralelo contra datos simulados y neutralizó el riesgo de bloqueo mutuo identificado en Fase 1.</w:t>
            </w:r>
          </w:p>
          <w:p w14:paraId="17CE44DE" w14:textId="77777777" w:rsidR="0003309E" w:rsidRPr="00371CBB" w:rsidRDefault="0003309E" w:rsidP="00C5122E">
            <w:pPr>
              <w:jc w:val="both"/>
              <w:rPr>
                <w:rFonts w:ascii="Calibri" w:hAnsi="Calibri" w:cs="Arial"/>
                <w:i/>
                <w:iCs/>
                <w:color w:val="548DD4"/>
                <w:sz w:val="20"/>
                <w:szCs w:val="20"/>
                <w:lang w:eastAsia="es-CL"/>
              </w:rPr>
            </w:pPr>
            <w:r>
              <w:rPr>
                <w:b w:val="0"/>
              </w:rPr>
              <w:t>Construcción del simulador de proveedor. Lo que se originó como un obstáculo resultó ser una ventaja: obligó a implementar los dos lados del estándar y produjo un entendimiento del flujo de autorización que no se habría alcanzado consumiendo únicamente una API ajena.</w:t>
            </w:r>
          </w:p>
          <w:p w14:paraId="17CE44DE" w14:textId="77777777" w:rsidR="0003309E" w:rsidRPr="00371CBB" w:rsidRDefault="0003309E" w:rsidP="00C5122E">
            <w:pPr>
              <w:jc w:val="both"/>
              <w:rPr>
                <w:rFonts w:ascii="Calibri" w:hAnsi="Calibri" w:cs="Arial"/>
                <w:i/>
                <w:iCs/>
                <w:color w:val="548DD4"/>
                <w:sz w:val="20"/>
                <w:szCs w:val="20"/>
                <w:lang w:eastAsia="es-CL"/>
              </w:rPr>
            </w:pPr>
            <w:r>
              <w:rPr>
                <w:b w:val="0"/>
              </w:rPr>
              <w:t>Pruebas automatizadas y entorno reproducible. Las 105 pruebas detectaron defectos que una revisión visual no habría encontrado, y Docker Compose asegura que ambos integrantes trabajen sobre el mismo entorno.</w:t>
            </w:r>
          </w:p>
          <w:p w14:paraId="17CE44DE" w14:textId="77777777" w:rsidR="0003309E" w:rsidRPr="00371CBB" w:rsidRDefault="0003309E" w:rsidP="00C5122E">
            <w:pPr>
              <w:jc w:val="both"/>
              <w:rPr>
                <w:rFonts w:ascii="Calibri" w:hAnsi="Calibri" w:cs="Arial"/>
                <w:i/>
                <w:iCs/>
                <w:color w:val="548DD4"/>
                <w:sz w:val="20"/>
                <w:szCs w:val="20"/>
                <w:lang w:eastAsia="es-CL"/>
              </w:rPr>
            </w:pPr>
            <w:r>
              <w:rPr>
                <w:b w:val="0"/>
              </w:rPr>
              <w:t>Retroalimentación concreta del docente. La observación recibida en la presentación anterior identificaba funcionalidades específicas: el panel de gasto de los últimos meses y la visualización de los pagos nuevos. Ambas están implementadas.</w:t>
            </w:r>
          </w:p>
          <w:p w14:paraId="17CE44DE" w14:textId="77777777" w:rsidR="0003309E" w:rsidRPr="00371CBB" w:rsidRDefault="0003309E" w:rsidP="00C5122E">
            <w:pPr>
              <w:jc w:val="both"/>
              <w:rPr>
                <w:rFonts w:ascii="Calibri" w:hAnsi="Calibri" w:cs="Arial"/>
                <w:i/>
                <w:iCs/>
                <w:color w:val="548DD4"/>
                <w:sz w:val="20"/>
                <w:szCs w:val="20"/>
                <w:lang w:eastAsia="es-CL"/>
              </w:rPr>
            </w:pPr>
          </w:p>
          <w:p w14:paraId="17CE44DE" w14:textId="77777777" w:rsidR="0003309E" w:rsidRPr="00371CBB" w:rsidRDefault="0003309E" w:rsidP="00C5122E">
            <w:pPr>
              <w:jc w:val="both"/>
              <w:rPr>
                <w:rFonts w:ascii="Calibri" w:hAnsi="Calibri" w:cs="Arial"/>
                <w:i/>
                <w:iCs/>
                <w:color w:val="548DD4"/>
                <w:sz w:val="20"/>
                <w:szCs w:val="20"/>
                <w:lang w:eastAsia="es-CL"/>
              </w:rPr>
            </w:pPr>
            <w:r>
              <w:rPr>
                <w:b/>
              </w:rPr>
              <w:t>Factores que dificultaron, y acciones tomadas</w:t>
            </w:r>
          </w:p>
          <w:p w14:paraId="17CE44DE" w14:textId="77777777" w:rsidR="0003309E" w:rsidRPr="00371CBB" w:rsidRDefault="0003309E" w:rsidP="00C5122E">
            <w:pPr>
              <w:jc w:val="both"/>
              <w:rPr>
                <w:rFonts w:ascii="Calibri" w:hAnsi="Calibri" w:cs="Arial"/>
                <w:i/>
                <w:iCs/>
                <w:color w:val="548DD4"/>
                <w:sz w:val="20"/>
                <w:szCs w:val="20"/>
                <w:lang w:eastAsia="es-CL"/>
              </w:rPr>
            </w:pPr>
            <w:r>
              <w:rPr>
                <w:b w:val="0"/>
              </w:rPr>
              <w:t>Sin acceso al sandbox ATENA. Se realizó la consulta formal a la Comisión para el Mercado Financiero y no hubo respuesta. Acción tomada: se construyó un simulador propio conforme al Anexo N°3 y la gestión quedó documentada como evidencia. Se declaró explícitamente qué partes del estándar quedan implementadas y cuáles no, por considerarse más defendible declarar el límite que insinuar una conformidad que no puede demostrarse en ejecución.</w:t>
            </w:r>
          </w:p>
          <w:p w14:paraId="17CE44DE" w14:textId="77777777" w:rsidR="0003309E" w:rsidRPr="00371CBB" w:rsidRDefault="0003309E" w:rsidP="00C5122E">
            <w:pPr>
              <w:jc w:val="both"/>
              <w:rPr>
                <w:rFonts w:ascii="Calibri" w:hAnsi="Calibri" w:cs="Arial"/>
                <w:i/>
                <w:iCs/>
                <w:color w:val="548DD4"/>
                <w:sz w:val="20"/>
                <w:szCs w:val="20"/>
                <w:lang w:eastAsia="es-CL"/>
              </w:rPr>
            </w:pPr>
            <w:r>
              <w:rPr>
                <w:b w:val="0"/>
              </w:rPr>
              <w:t>Bases de datos locales independientes. Compartir código pero no datos generó conflictos de integración; en una ocasión una rama eliminó las dependencias de pruebas dejando los archivos de prueba sin ejecutar. Acción tomada: se repusieron y se acordó verificar la ejecución de las pruebas antes de cada integración. Acción pendiente: definir un conjunto de datos de prueba común y versionado.</w:t>
            </w:r>
          </w:p>
          <w:p w14:paraId="17CE44DE" w14:textId="77777777" w:rsidR="0003309E" w:rsidRPr="00371CBB" w:rsidRDefault="0003309E" w:rsidP="00C5122E">
            <w:pPr>
              <w:jc w:val="both"/>
              <w:rPr>
                <w:rFonts w:ascii="Calibri" w:hAnsi="Calibri" w:cs="Arial"/>
                <w:i/>
                <w:iCs/>
                <w:color w:val="548DD4"/>
                <w:sz w:val="20"/>
                <w:szCs w:val="20"/>
                <w:lang w:eastAsia="es-CL"/>
              </w:rPr>
            </w:pPr>
            <w:r>
              <w:rPr>
                <w:b w:val="0"/>
              </w:rPr>
              <w:t>Dependencia del modelo de clasificación. Acción tomada: en lugar de esperar, se construyó la interfaz que lo expone y se amplió el contrato de datos, de modo que la integración futura consista solo en poblar dos campos.</w:t>
            </w:r>
          </w:p>
          <w:p w14:paraId="17CE44DE" w14:textId="77777777" w:rsidR="0003309E" w:rsidRPr="00371CBB" w:rsidRDefault="0003309E" w:rsidP="00C5122E">
            <w:pPr>
              <w:jc w:val="both"/>
              <w:rPr>
                <w:rFonts w:ascii="Calibri" w:hAnsi="Calibri" w:cs="Arial"/>
                <w:i/>
                <w:iCs/>
                <w:color w:val="548DD4"/>
                <w:sz w:val="20"/>
                <w:szCs w:val="20"/>
                <w:lang w:eastAsia="es-CL"/>
              </w:rPr>
            </w:pPr>
            <w:r>
              <w:rPr>
                <w:b w:val="0"/>
              </w:rPr>
              <w:t>Defecto de duplicación de datos. El gasto mensual aparecía al doble del ingreso. La causa fue un cambio en la fórmula de la huella de deduplicación entre dos ingestas, que hacía que el mismo movimiento ingresara dos veces con huellas distintas. Acción tomada: se corrigió la causa en el pipeline, se reconstruyó la base y se documentó un procedimiento de verificación reproducible.</w:t>
            </w:r>
          </w:p>
          <w:p w14:paraId="17CE44DE" w14:textId="77777777" w:rsidR="0003309E" w:rsidRPr="00371CBB" w:rsidRDefault="0003309E" w:rsidP="00C5122E">
            <w:pPr>
              <w:jc w:val="both"/>
              <w:rPr>
                <w:rFonts w:ascii="Calibri" w:hAnsi="Calibri" w:cs="Arial"/>
                <w:i/>
                <w:iCs/>
                <w:color w:val="548DD4"/>
                <w:sz w:val="20"/>
                <w:szCs w:val="20"/>
                <w:lang w:eastAsia="es-CL"/>
              </w:rPr>
            </w:pPr>
            <w:r>
              <w:rPr>
                <w:b w:val="0"/>
              </w:rPr>
              <w:t>Desbalance en la distribución de la carga. Es la dificultad de gestión más relevante del período y se aborda en el apartado siguiente.</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Pr>
                <w:b/>
              </w:rPr>
              <w:t>Actividades ajustadas o eliminadas:</w:t>
            </w:r>
          </w:p>
          <w:p w14:paraId="0E567A33" w14:textId="2A8FED79" w:rsidR="0003309E" w:rsidRDefault="0003309E" w:rsidP="00C5122E">
            <w:pPr>
              <w:jc w:val="both"/>
              <w:rPr>
                <w:rFonts w:ascii="Calibri" w:hAnsi="Calibri" w:cs="Arial"/>
                <w:i/>
                <w:color w:val="548DD4"/>
                <w:sz w:val="20"/>
                <w:szCs w:val="20"/>
                <w:lang w:eastAsia="es-CL"/>
              </w:rPr>
            </w:pPr>
          </w:p>
          <w:p w14:paraId="0E567A33" w14:textId="2A8FED79" w:rsidR="0003309E" w:rsidRDefault="0003309E" w:rsidP="00C5122E">
            <w:pPr>
              <w:jc w:val="both"/>
              <w:rPr>
                <w:rFonts w:ascii="Calibri" w:hAnsi="Calibri" w:cs="Arial"/>
                <w:i/>
                <w:color w:val="548DD4"/>
                <w:sz w:val="20"/>
                <w:szCs w:val="20"/>
                <w:lang w:eastAsia="es-CL"/>
              </w:rPr>
            </w:pPr>
            <w:r>
              <w:rPr>
                <w:b w:val="0"/>
              </w:rPr>
              <w:t>No se eliminó ninguna actividad del compromiso base. Se realizaron cuatro ajustes.</w:t>
            </w:r>
          </w:p>
          <w:p w14:paraId="0E567A33" w14:textId="2A8FED79" w:rsidR="0003309E" w:rsidRDefault="0003309E" w:rsidP="00C5122E">
            <w:pPr>
              <w:jc w:val="both"/>
              <w:rPr>
                <w:rFonts w:ascii="Calibri" w:hAnsi="Calibri" w:cs="Arial"/>
                <w:i/>
                <w:color w:val="548DD4"/>
                <w:sz w:val="20"/>
                <w:szCs w:val="20"/>
                <w:lang w:eastAsia="es-CL"/>
              </w:rPr>
            </w:pPr>
          </w:p>
          <w:p w14:paraId="0E567A33" w14:textId="2A8FED79" w:rsidR="0003309E" w:rsidRDefault="0003309E" w:rsidP="00C5122E">
            <w:pPr>
              <w:jc w:val="both"/>
              <w:rPr>
                <w:rFonts w:ascii="Calibri" w:hAnsi="Calibri" w:cs="Arial"/>
                <w:i/>
                <w:color w:val="548DD4"/>
                <w:sz w:val="20"/>
                <w:szCs w:val="20"/>
                <w:lang w:eastAsia="es-CL"/>
              </w:rPr>
            </w:pPr>
            <w:r>
              <w:rPr>
                <w:b w:val="0"/>
              </w:rPr>
              <w:t>Ajuste 1 — Reducción del alcance del simulador SFA. Se excluyen del simulador la autenticación mutua por certificado (mTLS), la firma JWS de los mensajes y el registro dinámico de clientes. Justificación: son capas del perfil FAPI 2.0 que no pueden ejercitarse de forma significativa contra un simulador construido por el propio equipo, y su implementación consumiría tiempo que rinde más en las capas de análisis de datos, que son las que sostienen la complejidad del proyecto. Quedan declaradas en el repositorio, en los puntos del código donde corresponderían.</w:t>
            </w:r>
          </w:p>
          <w:p w14:paraId="0E567A33" w14:textId="2A8FED79" w:rsidR="0003309E" w:rsidRDefault="0003309E" w:rsidP="00C5122E">
            <w:pPr>
              <w:jc w:val="both"/>
              <w:rPr>
                <w:rFonts w:ascii="Calibri" w:hAnsi="Calibri" w:cs="Arial"/>
                <w:i/>
                <w:color w:val="548DD4"/>
                <w:sz w:val="20"/>
                <w:szCs w:val="20"/>
                <w:lang w:eastAsia="es-CL"/>
              </w:rPr>
            </w:pPr>
          </w:p>
          <w:p w14:paraId="0E567A33" w14:textId="2A8FED79" w:rsidR="0003309E" w:rsidRDefault="0003309E" w:rsidP="00C5122E">
            <w:pPr>
              <w:jc w:val="both"/>
              <w:rPr>
                <w:rFonts w:ascii="Calibri" w:hAnsi="Calibri" w:cs="Arial"/>
                <w:i/>
                <w:color w:val="548DD4"/>
                <w:sz w:val="20"/>
                <w:szCs w:val="20"/>
                <w:lang w:eastAsia="es-CL"/>
              </w:rPr>
            </w:pPr>
            <w:r>
              <w:rPr>
                <w:b w:val="0"/>
              </w:rPr>
              <w:t>Ajuste 2 — Redistribución de responsables. El plan asignaba la aplicación móvil a Pedro Torres y las capas de backend e inteligencia a Jossue Padrón. En la práctica el reparto se invirtió parcialmente y luego se concentró. El historial del repositorio lo evidencia: de 79 commits, 60 corresponden a Jossue Padrón y 19 a Pedro Torres. El riesgo ya se había identificado en Fase 1 —el reparto proyectado era 70/30— pero la medida correctiva quedó pendiente de acuerdo y no se aplicó a tiempo. La lección de gestión es que identificar un riesgo no equivale a gestionarlo: requiere fecha y responsable, igual que cualquier otra tarea. La redistribución acordada para las semanas restantes traspasa a Pedro Torres la detección de recurrencias, la integración del clasificador y la persistencia de las correcciones del usuario, y a Jossue Padrón las pantallas restantes de cumplimiento de la Ley 21.719.</w:t>
            </w:r>
          </w:p>
          <w:p w14:paraId="0E567A33" w14:textId="2A8FED79" w:rsidR="0003309E" w:rsidRDefault="0003309E" w:rsidP="00C5122E">
            <w:pPr>
              <w:jc w:val="both"/>
              <w:rPr>
                <w:rFonts w:ascii="Calibri" w:hAnsi="Calibri" w:cs="Arial"/>
                <w:i/>
                <w:color w:val="548DD4"/>
                <w:sz w:val="20"/>
                <w:szCs w:val="20"/>
                <w:lang w:eastAsia="es-CL"/>
              </w:rPr>
            </w:pPr>
          </w:p>
          <w:p w14:paraId="0E567A33" w14:textId="2A8FED79" w:rsidR="0003309E" w:rsidRDefault="0003309E" w:rsidP="00C5122E">
            <w:pPr>
              <w:jc w:val="both"/>
              <w:rPr>
                <w:rFonts w:ascii="Calibri" w:hAnsi="Calibri" w:cs="Arial"/>
                <w:i/>
                <w:color w:val="548DD4"/>
                <w:sz w:val="20"/>
                <w:szCs w:val="20"/>
                <w:lang w:eastAsia="es-CL"/>
              </w:rPr>
            </w:pPr>
            <w:r>
              <w:rPr>
                <w:b w:val="0"/>
              </w:rPr>
              <w:t>Ajuste 3 — Incorporación de pruebas unitarias en el backend. No estaban contempladas en el plan original, que solo consideraba pruebas sobre la aplicación móvil. Se incorporó pytest al desarrollar el motor de proyección, porque una simulación aleatoria sin pruebas no es verificable. Pasa a ser parte del estándar de trabajo del equipo.</w:t>
            </w:r>
          </w:p>
          <w:p w14:paraId="0E567A33" w14:textId="2A8FED79" w:rsidR="0003309E" w:rsidRDefault="0003309E" w:rsidP="00C5122E">
            <w:pPr>
              <w:jc w:val="both"/>
              <w:rPr>
                <w:rFonts w:ascii="Calibri" w:hAnsi="Calibri" w:cs="Arial"/>
                <w:i/>
                <w:color w:val="548DD4"/>
                <w:sz w:val="20"/>
                <w:szCs w:val="20"/>
                <w:lang w:eastAsia="es-CL"/>
              </w:rPr>
            </w:pPr>
          </w:p>
          <w:p w14:paraId="0E567A33" w14:textId="2A8FED79" w:rsidR="0003309E" w:rsidRDefault="0003309E" w:rsidP="00C5122E">
            <w:pPr>
              <w:jc w:val="both"/>
              <w:rPr>
                <w:rFonts w:ascii="Calibri" w:hAnsi="Calibri" w:cs="Arial"/>
                <w:i/>
                <w:color w:val="548DD4"/>
                <w:sz w:val="20"/>
                <w:szCs w:val="20"/>
                <w:lang w:eastAsia="es-CL"/>
              </w:rPr>
            </w:pPr>
            <w:r>
              <w:rPr>
                <w:b w:val="0"/>
              </w:rPr>
              <w:t>Ajuste 4 — Actividad nueva de consentimiento por finalidad de tratamiento. Surgió al construir el clasificador: entrenar un modelo con los gastos de una persona es una finalidad distinta de mostrárselos, y la Ley 21.719 exige consentimiento específico para cada una. Genera una tarea derivada de cumplimiento obligatorio: el proceso de reentrenamiento debe filtrar por los usuarios que otorgaron ese consentimiento, porque un consentimiento que el código que usa los datos no consulta carece de efecto real.</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Pr>
                <w:b/>
              </w:rPr>
              <w:t>Actividades que no has iniciado o están retrasadas:</w:t>
            </w:r>
          </w:p>
          <w:p w14:paraId="71F24186" w14:textId="6C9A0274" w:rsidR="0003309E" w:rsidRDefault="0003309E" w:rsidP="00585A13">
            <w:pPr>
              <w:jc w:val="both"/>
              <w:rPr>
                <w:rFonts w:ascii="Calibri" w:hAnsi="Calibri" w:cs="Arial"/>
                <w:i/>
                <w:color w:val="548DD4"/>
                <w:sz w:val="20"/>
                <w:szCs w:val="20"/>
                <w:lang w:eastAsia="es-CL"/>
              </w:rPr>
            </w:pPr>
          </w:p>
          <w:p w14:paraId="71F24186" w14:textId="6C9A0274" w:rsidR="0003309E" w:rsidRDefault="0003309E" w:rsidP="00585A13">
            <w:pPr>
              <w:jc w:val="both"/>
              <w:rPr>
                <w:rFonts w:ascii="Calibri" w:hAnsi="Calibri" w:cs="Arial"/>
                <w:i/>
                <w:color w:val="548DD4"/>
                <w:sz w:val="20"/>
                <w:szCs w:val="20"/>
                <w:lang w:eastAsia="es-CL"/>
              </w:rPr>
            </w:pPr>
            <w:r>
              <w:rPr>
                <w:b/>
              </w:rPr>
              <w:t>No iniciada: detección de gastos recurrentes y suscripciones (semanas 10 y 11).</w:t>
            </w:r>
          </w:p>
          <w:p w14:paraId="71F24186" w14:textId="6C9A0274" w:rsidR="0003309E" w:rsidRDefault="0003309E" w:rsidP="00585A13">
            <w:pPr>
              <w:jc w:val="both"/>
              <w:rPr>
                <w:rFonts w:ascii="Calibri" w:hAnsi="Calibri" w:cs="Arial"/>
                <w:i/>
                <w:color w:val="548DD4"/>
                <w:sz w:val="20"/>
                <w:szCs w:val="20"/>
                <w:lang w:eastAsia="es-CL"/>
              </w:rPr>
            </w:pPr>
            <w:r>
              <w:rPr>
                <w:b w:val="0"/>
              </w:rPr>
              <w:t>Motivo: la actividad está planificada para iniciarse en la semana 10, de modo que al cierre de este informe no presenta retraso respecto del plan. Se consigna porque es la única capa del compromiso base que aún no comienza. Estrategia: se reasigna a Pedro Torres por tratarse de un algoritmo autocontenido, sin dependencias de infraestructura y probable con datos sintéticos, lo que permite desarrollarla en paralelo con el resto del sistema.</w:t>
            </w:r>
          </w:p>
          <w:p w14:paraId="71F24186" w14:textId="6C9A0274" w:rsidR="0003309E" w:rsidRDefault="0003309E" w:rsidP="00585A13">
            <w:pPr>
              <w:jc w:val="both"/>
              <w:rPr>
                <w:rFonts w:ascii="Calibri" w:hAnsi="Calibri" w:cs="Arial"/>
                <w:i/>
                <w:color w:val="548DD4"/>
                <w:sz w:val="20"/>
                <w:szCs w:val="20"/>
                <w:lang w:eastAsia="es-CL"/>
              </w:rPr>
            </w:pPr>
          </w:p>
          <w:p w14:paraId="71F24186" w14:textId="6C9A0274" w:rsidR="0003309E" w:rsidRDefault="0003309E" w:rsidP="00585A13">
            <w:pPr>
              <w:jc w:val="both"/>
              <w:rPr>
                <w:rFonts w:ascii="Calibri" w:hAnsi="Calibri" w:cs="Arial"/>
                <w:i/>
                <w:color w:val="548DD4"/>
                <w:sz w:val="20"/>
                <w:szCs w:val="20"/>
                <w:lang w:eastAsia="es-CL"/>
              </w:rPr>
            </w:pPr>
            <w:r>
              <w:rPr>
                <w:b/>
              </w:rPr>
              <w:t>Retrasada: integración del clasificador automático (semanas 8 a 10).</w:t>
            </w:r>
          </w:p>
          <w:p w14:paraId="71F24186" w14:textId="6C9A0274" w:rsidR="0003309E" w:rsidRDefault="0003309E" w:rsidP="00585A13">
            <w:pPr>
              <w:jc w:val="both"/>
              <w:rPr>
                <w:rFonts w:ascii="Calibri" w:hAnsi="Calibri" w:cs="Arial"/>
                <w:i/>
                <w:color w:val="548DD4"/>
                <w:sz w:val="20"/>
                <w:szCs w:val="20"/>
                <w:lang w:eastAsia="es-CL"/>
              </w:rPr>
            </w:pPr>
            <w:r>
              <w:rPr>
                <w:b w:val="0"/>
              </w:rPr>
              <w:t>Motivo: el modelo fue construido y medido dentro del plazo, pero no se incorporó al repositorio a tiempo, por lo que la integración con el backend y la aplicación quedó pendiente. Estrategia: la interfaz que lo expone ya está construida y el contrato de datos ya contempla los campos necesarios, de manera que la integración se reduce a poblar dos campos desde el backend. Se fija como primera tarea de Pedro Torres en la redistribución acordada, por ser quien desarrolló el modelo.</w:t>
            </w:r>
          </w:p>
          <w:p w14:paraId="71F24186" w14:textId="6C9A0274" w:rsidR="0003309E" w:rsidRDefault="0003309E" w:rsidP="00585A13">
            <w:pPr>
              <w:jc w:val="both"/>
              <w:rPr>
                <w:rFonts w:ascii="Calibri" w:hAnsi="Calibri" w:cs="Arial"/>
                <w:i/>
                <w:color w:val="548DD4"/>
                <w:sz w:val="20"/>
                <w:szCs w:val="20"/>
                <w:lang w:eastAsia="es-CL"/>
              </w:rPr>
            </w:pPr>
          </w:p>
          <w:p w14:paraId="71F24186" w14:textId="6C9A0274" w:rsidR="0003309E" w:rsidRDefault="0003309E" w:rsidP="00585A13">
            <w:pPr>
              <w:jc w:val="both"/>
              <w:rPr>
                <w:rFonts w:ascii="Calibri" w:hAnsi="Calibri" w:cs="Arial"/>
                <w:i/>
                <w:color w:val="548DD4"/>
                <w:sz w:val="20"/>
                <w:szCs w:val="20"/>
                <w:lang w:eastAsia="es-CL"/>
              </w:rPr>
            </w:pPr>
            <w:r>
              <w:rPr>
                <w:b/>
              </w:rPr>
              <w:t>Medida preventiva para el resto del proyecto.</w:t>
            </w:r>
          </w:p>
          <w:p w14:paraId="71F24186" w14:textId="6C9A0274" w:rsidR="0003309E" w:rsidRDefault="0003309E" w:rsidP="00585A13">
            <w:pPr>
              <w:jc w:val="both"/>
              <w:rPr>
                <w:rFonts w:ascii="Calibri" w:hAnsi="Calibri" w:cs="Arial"/>
                <w:i/>
                <w:color w:val="548DD4"/>
                <w:sz w:val="20"/>
                <w:szCs w:val="20"/>
                <w:lang w:eastAsia="es-CL"/>
              </w:rPr>
            </w:pPr>
            <w:r>
              <w:rPr>
                <w:b w:val="0"/>
              </w:rPr>
              <w:t>Las dos situaciones anteriores comparten causa: el trabajo permaneció fuera del repositorio mientras estaba en desarrollo. El equipo acuerda que cada integrante suba commits propios al menos dos veces por semana, aunque el trabajo esté incompleto, y que las actividades de los bloques acoplados se integren en ramas cortas. Esto reduce el riesgo de bloqueo mutuo y, al mismo tiempo, mantiene actualizada la evidencia individual que evalúa la asignatura.</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