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Pr>
                <w:b/>
              </w:rPr>
              <w:t>Velvet Wallet — Aplicación móvil de finanzas personales consumidora del Sistema de Finanzas Abiertas chileno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Pr>
                <w:b w:val="0"/>
              </w:rPr>
              <w:t>Desarrollo de software y aplicaciones móviles.</w:t>
            </w:r>
          </w:p>
          <w:p w14:paraId="2466888A" w14:textId="33BA552F" w:rsidR="00050706" w:rsidRPr="00B4008E" w:rsidRDefault="00050706" w:rsidP="00050706">
            <w:pPr>
              <w:rPr>
                <w:b/>
              </w:rPr>
            </w:pPr>
            <w:r>
              <w:rPr>
                <w:b w:val="0"/>
              </w:rPr>
              <w:t>Gestión de datos y bases de datos.</w:t>
            </w:r>
          </w:p>
          <w:p w14:paraId="2466888A" w14:textId="33BA552F" w:rsidR="00050706" w:rsidRPr="00B4008E" w:rsidRDefault="00050706" w:rsidP="00050706">
            <w:pPr>
              <w:rPr>
                <w:b/>
              </w:rPr>
            </w:pPr>
            <w:r>
              <w:rPr>
                <w:b w:val="0"/>
              </w:rPr>
              <w:t>Seguridad informática y cumplimiento normativo.</w:t>
            </w:r>
          </w:p>
          <w:p w14:paraId="2466888A" w14:textId="33BA552F" w:rsidR="00050706" w:rsidRPr="00B4008E" w:rsidRDefault="00050706" w:rsidP="00050706">
            <w:pPr>
              <w:rPr>
                <w:b/>
              </w:rPr>
            </w:pPr>
            <w:r>
              <w:rPr>
                <w:b w:val="0"/>
              </w:rPr>
              <w:t>Gestión de proyectos informáticos.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Pr>
                <w:b w:val="0"/>
              </w:rPr>
              <w:t>El proyecto aborda las seis competencias del perfil de egreso. El mínimo exigido por la asignatura es de tres.</w:t>
            </w:r>
          </w:p>
          <w:p w14:paraId="2366AA78" w14:textId="433C129D" w:rsidR="00050706" w:rsidRPr="00B4008E" w:rsidRDefault="00050706" w:rsidP="00050706">
            <w:pPr>
              <w:rPr>
                <w:b/>
              </w:rPr>
            </w:pPr>
          </w:p>
          <w:p w14:paraId="2366AA78" w14:textId="433C129D" w:rsidR="00050706" w:rsidRPr="00B4008E" w:rsidRDefault="00050706" w:rsidP="00050706">
            <w:pPr>
              <w:rPr>
                <w:b/>
              </w:rPr>
            </w:pPr>
            <w:r>
              <w:rPr>
                <w:b w:val="0"/>
              </w:rPr>
              <w:t>1. Diseñar y generar soluciones de software innovadoras y de calidad, aplicando el ciclo de vida del software. Se evidencia en el desarrollo completo del sistema y en las 105 pruebas automatizadas que lo respaldan.</w:t>
            </w:r>
          </w:p>
          <w:p w14:paraId="2366AA78" w14:textId="433C129D" w:rsidR="00050706" w:rsidRPr="00B4008E" w:rsidRDefault="00050706" w:rsidP="00050706">
            <w:pPr>
              <w:rPr>
                <w:b/>
              </w:rPr>
            </w:pPr>
            <w:r>
              <w:rPr>
                <w:b w:val="0"/>
              </w:rPr>
              <w:t>2. Resolver requerimientos de información mediante bases de datos relacionales y no relacionales. Se evidencia en la persistencia políglota: PostgreSQL para el modelo canónico y MongoDB para los cargamentos crudos de ingesta, cuya elección responde a que los datos de cada institución no tienen esquema fijo.</w:t>
            </w:r>
          </w:p>
          <w:p w14:paraId="2366AA78" w14:textId="433C129D" w:rsidR="00050706" w:rsidRPr="00B4008E" w:rsidRDefault="00050706" w:rsidP="00050706">
            <w:pPr>
              <w:rPr>
                <w:b/>
              </w:rPr>
            </w:pPr>
            <w:r>
              <w:rPr>
                <w:b w:val="0"/>
              </w:rPr>
              <w:t>3. Aplicar ingeniería de requisitos con metodologías de vanguardia para soluciones TI complejas. Se evidencia en que los requisitos derivan de las limitaciones detectadas en el uso real de un prototipo previo, y no de supuestos.</w:t>
            </w:r>
          </w:p>
          <w:p w14:paraId="2366AA78" w14:textId="433C129D" w:rsidR="00050706" w:rsidRPr="00B4008E" w:rsidRDefault="00050706" w:rsidP="00050706">
            <w:pPr>
              <w:rPr>
                <w:b/>
              </w:rPr>
            </w:pPr>
            <w:r>
              <w:rPr>
                <w:b w:val="0"/>
              </w:rPr>
              <w:t>4. Evaluar y gestionar proyectos informáticos durante todo su ciclo de vida. Se evidencia en el análisis de capacidad en semanas-persona, la detección temprana de un sobrecompromiso del 35% y su corrección mediante reducción documentada del alcance.</w:t>
            </w:r>
          </w:p>
          <w:p w14:paraId="2366AA78" w14:textId="433C129D" w:rsidR="00050706" w:rsidRPr="00B4008E" w:rsidRDefault="00050706" w:rsidP="00050706">
            <w:pPr>
              <w:rPr>
                <w:b/>
              </w:rPr>
            </w:pPr>
            <w:r>
              <w:rPr>
                <w:b w:val="0"/>
              </w:rPr>
              <w:t>5. Diseñar software conforme a estándares, marcos de trabajo y regulatorios, con foco en calidad, seguridad y sostenibilidad. Se evidencia en la implementación del estándar técnico del Sistema de Finanzas Abiertas (NCG N°514, Anexo N°3) y de los mecanismos exigidos por la Ley 21.719.</w:t>
            </w:r>
          </w:p>
          <w:p w14:paraId="2366AA78" w14:textId="433C129D" w:rsidR="00050706" w:rsidRPr="00B4008E" w:rsidRDefault="00050706" w:rsidP="00050706">
            <w:pPr>
              <w:rPr>
                <w:b/>
              </w:rPr>
            </w:pPr>
            <w:r>
              <w:rPr>
                <w:b w:val="0"/>
              </w:rPr>
              <w:t>6. Desarrollar proyectos para plataformas y dispositivos móviles. Se evidencia en la aplicación construida en React Native con Expo.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rPr>
              <w:t>El problema</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val="0"/>
              </w:rPr>
              <w:t>Los datos financieros de una persona están repartidos entre instituciones que no se comunican entre sí: el banco, el emisor de la tarjeta, la fintech. Para reunirlos, hoy existen dos caminos y ambos son malos. El primero es que la persona transcriba manualmente cada movimiento, lo que en la práctica se abandona a las pocas semanas. El segundo es entregar la clave del banco a una aplicación que extrae los datos por raspado de pantalla, lo que es inseguro e ilegítimo.</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rPr>
              <w:t>Por qué es relevante para la profesión</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val="0"/>
              </w:rPr>
              <w:t>La Ley 21.521 y la Norma de Carácter General N°514 de la Comisión para el Mercado Financiero establecen el Sistema de Finanzas Abiertas: los datos financieros pertenecen al usuario y las instituciones quedan obligadas a exponerlos mediante interfaces estandarizadas a quien el usuario autorice. Su entrada en vigencia fue postergada a julio de 2027. A su vez, la Ley 21.719 de protección de datos personales entra en vigencia el 1 de diciembre de 2026.</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val="0"/>
              </w:rPr>
              <w:t>Esto abre una ventana de preparación en la que la industria necesitará desarrolladores capaces de construir sobre el estándar, y define el aporte del proyecto: una implementación de referencia de un consumidor del Sistema de Finanzas Abiertas chileno, construida contra la especificación pública antes de su entrada en vigencia.</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rPr>
              <w:t>Dónde se sitúa y a quiénes afecta</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val="0"/>
              </w:rPr>
              <w:t>El proyecto se sitúa en Chile y está diseñado para la realidad financiera local: pesos chilenos, sueldo mensual, gastos fijos estables, compras en cuotas y metas de ahorro. Está dirigido al usuario común, no al experto en finanzas: personas con ingreso formal mensual que necesitan responder tres preguntas en segundos —cuánto tengo disponible este mes, en qué se me va el dinero y cuándo podré comprar lo que quiero—.</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rPr>
              <w:t>Aporte de valor</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val="0"/>
              </w:rPr>
              <w:t>El proyecto parte de un prototipo previo cuyo uso real reveló tres limitaciones concretas: la carga manual de datos provocaba abandono, el módulo de créditos no reflejaba el costo real del financiamiento en cuotas, y la proyección de metas suponía un excedente mensual constante que no se cumple en la práctica. Esas tres limitaciones justifican las tres capas técnicas principales del proyecto. El aporte es, por tanto, verificable: cada capa responde a un problema observado y no a una hipótesis.</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rPr>
              <w:t>Limitación declarada</w:t>
            </w:r>
          </w:p>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b w:val="0"/>
              </w:rPr>
              <w:t>No es posible conectarse a instituciones financieras reales porque el sistema no se encuentra vigente. El desarrollo se realiza contra la especificación pública y un simulador de proveedor de información construido por el equipo, lo que obligó a implementar y comprender ambos lados del estándar.</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rPr>
              <w:t>Objetivo general</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Desarrollar una aplicación móvil de gestión de finanzas personales que, actuando como consumidor del Sistema de Finanzas Abiertas chileno, automatice la captura y clasificación de movimientos financieros y entregue proyecciones probabilísticas de capacidad de ahorro, cumpliendo con la Ley 21.719 de protección de datos personales.</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rPr>
              <w:t>Objetivos específicos</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1. Implementar un pipeline de ingesta que normalice y deduplique movimientos provenientes de múltiples fuentes heterogéneas (interfaz del Sistema de Finanzas Abiertas, cartolas en formato CSV y carga manual) hacia un modelo canónico único, con normalización de las glosas de comercio.</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2. Construir un consumidor de interfaces conforme al estándar técnico del Sistema de Finanzas Abiertas (Anexo N°3 de la NCG N°514, sobre FAPI 2.0 y OAuth 2.0), validado contra un simulador de proveedor de información desarrollado como parte del proyecto.</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3. Desarrollar un modelo de clasificación automática de transacciones con ciclo de reentrenamiento a partir de las correcciones del usuario, alcanzando una precisión mínima del 85% con una cobertura mínima del 80% sobre el conjunto de prueba.</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4. Diseñar e implementar un algoritmo de detección de gastos recurrentes tolerante a variaciones de monto, desplazamiento de fecha y cambios en la glosa del comercio.</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5. Implementar un motor de proyección basado en simulación de Monte Carlo que entregue plazos de cumplimiento de metas de ahorro expresados con niveles de probabilidad, en reemplazo del cálculo determinista por excedente promedio.</w:t>
            </w:r>
          </w:p>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b w:val="0"/>
              </w:rPr>
              <w:t>6. Implementar los mecanismos de cumplimiento de la Ley 21.719: consentimiento granular y revocable, portabilidad de los datos del titular, bitácora de auditoría de accesos y flujo de notificación de brechas.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Metodología utilizada</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Metodología ágil, con enfoque iterativo e incremental organizado por capas funcionales. No se adoptó Scrum de forma estricta, y esa decisión se fundamenta más abajo.</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Fases y procedimientos</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Cada capa funcional constituye un incremento y se construye, prueba y documenta antes de integrarse a la rama principal. El orden de construcción no es arbitrario: primero los cimientos —ingesta, estándar y seguridad— y después la inteligencia sobre los datos, porque una capa de análisis sin datos que procesar no se puede demostrar ni medir.</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El trabajo se organizó en tres fases alineadas con el Portafolio de Título. La primera comprendió la definición del problema, la ingeniería de requisitos derivada del prototipo previo, el análisis de capacidad y el diseño del modelo de datos. La segunda comprendió la construcción de las capas funcionales. La tercera comprende la integración final, las pruebas y la documentación.</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Mecanismo de control</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El avance se mide contra un análisis de capacidad expresado en semanas-persona. Ante una desviación, la variable de ajuste es el alcance, no la calidad ni el plazo, porque los plazos los fija la asignatura. Este mecanismo se activó en cuatro ocasiones documentadas: el sobrecompromiso del 35% detectado en la primera semana, el cambio de framework del backend, la falta de acceso al sandbox oficial de la Comisión para el Mercado Financiero y la indisponibilidad temporal del modelo de clasificación.</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Pertinencia de la metodología</w:t>
            </w:r>
          </w:p>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Es pertinente por tres razones verificables en la ejecución del proyecto. Primero, los requisitos cambiaron en más de una ocasión durante las primeras semanas; una metodología en cascada habría obligado a rehacer la planificación completa cada vez. Segundo, el proyecto se compone de capas con dependencias claras entre sí, lo que hace natural tratarlas como incrementos sucesivos. Tercero, el equipo es de dos personas en jornada vespertina y con otras asignaturas en paralelo, por lo que no puede sostener de forma realista las ceremonias ni los tres roles diferenciados que exige Scrum. Declarar un marco de trabajo que después no se aplica resta valor a la planificación; se declaró el enfoque que el equipo efectivamente puede sostener y evidenciar.</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color w:val="C00000"/>
              </w:rPr>
              <w:t>[BORRADOR — esta sección se completa al cierre del proyecto, semana 15. Lo que sigue es el estado al 20 de octubre de 2026, semana 9.]</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Etapas y actividades desarrolladas</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Semanas 1 a 4: definición del problema, ingeniería de requisitos, análisis de capacidad, diseño del modelo de datos y planificación.</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Semanas 5 a 7: construcción del cliente del Sistema de Finanzas Abiertas y del simulador de proveedor de información, con flujo de autorización OAuth 2.0, solicitud por canal posterior y PKCE.</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Semanas 6 a 8: entorno de bases de datos y pipeline de ingesta, normalización y deduplicación hacia el modelo canónico.</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Semanas 6 a 13: aplicación móvil con los flujos núcleo.</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Semanas 8 a 10: modelo de clasificación automática de transacciones.</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Semana 9: motor de proyección Monte Carlo, adelantado respecto del plan, y primeras funcionalidades de cumplimiento de la Ley 21.719.</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color w:val="C00000"/>
              </w:rPr>
              <w:t>[Pendiente: semanas 10 a 16.]</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Facilitadores</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La definición temprana del contrato de datos entre backend y aplicación permitió trabajar en paralelo contra datos simulados, neutralizando el riesgo de bloqueo mutuo. La construcción del simulador, originalmente un obstáculo, obligó a implementar ambos lados del estándar y produjo un entendimiento del flujo de autorización superior al que se habría alcanzado consumiendo una interfaz ajena. Las pruebas automatizadas y el entorno reproducible con Docker Compose permitieron detectar defectos que una revisión visual no habría encontrado.</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Dificultades</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No se obtuvo acceso al sandbox ATENA de la Comisión para el Mercado Financiero pese a la consulta formal, lo que obligó a construir el simulador con un costo muy superior al presupuestado. El trabajo con bases de datos locales independientes generó conflictos de integración. La indisponibilidad temporal del modelo de clasificación bloqueó el trabajo dependiente. Se detectó un defecto de duplicación de datos originado en un cambio de la fórmula de deduplicación entre dos ingestas. Finalmente, la distribución de la carga entre ambos integrantes se desbalanceó respecto de lo planificado.</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rPr>
              <w:t>Ajustes realizados</w:t>
            </w:r>
          </w:p>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b w:val="0"/>
              </w:rPr>
              <w:t>Se redujo el alcance del simulador a la consulta de datos, declarando explícitamente fuera de alcance las capas del perfil FAPI 2.0 que no pueden ejercitarse contra un simulador propio. Se desacopló la dependencia del clasificador construyendo primero la interfaz que lo expone. Se corrigió la causa raíz del defecto de duplicación y se documentó un procedimiento de verificación reproducible. Se incorporó pytest, no contemplado originalmente. Se redistribuyeron las actividades restantes entre ambos integrantes. Se agregó una actividad nueva de consentimiento por finalidad de tratamiento, derivada de la Ley 21.719.</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color w:val="C00000"/>
              </w:rPr>
              <w:t>[BORRADOR — las evidencias finales se adjuntan en la semana 15. Lo que sigue es lo disponible al 20 de octubre de 2026.]</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Repositorio público del proyecto: github.com/JossPa/VelvetWallet. Contiene el historial completo de desarrollo con la autoría identificada de cada integrante, bajo convención de Conventional Commits.</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Sistema funcionando de extremo a extremo: simulador de institución financiera conforme al Anexo N°3, backend con pipeline de ingesta y normalización, y aplicación móvil conectada a ese backend.</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Modelo de datos implementado sobre PostgreSQL y MongoDB, con el entorno completo reproducible mediante Docker Compose.</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Suite de 105 pruebas automatizadas: 84 sobre la aplicación móvil con Jest y 21 sobre el backend con pytest.</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Motor de proyección Monte Carlo con pruebas unitarias que verifican propiedades del modelo y no valores fijos.</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Especificación OpenAPI generada automáticamente por el simulador, como evidencia verificable de conformidad con el Anexo N°3.</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rPr>
              <w:t>Documentación técnica de las decisiones de diseño y de la gestión ante la Comisión para el Mercado Financiero por el acceso al sandbox.</w:t>
            </w:r>
          </w:p>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b w:val="0"/>
                <w:color w:val="C00000"/>
              </w:rPr>
              <w:t>[Pendiente: aplicación móvil completa, modelo de clasificación integrado con sus métricas, detección de recurrencias y funcionalidades restantes de la Ley 21.719.]</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b/>
                <w:color w:val="C00000"/>
              </w:rPr>
              <w:t>[PENDIENTE — reflexión individual de cada integrante. Debe redactarla cada uno por separado; no corresponde una respuesta grupal. Recordar que la rúbrica 2.7 evalúa este punto de forma individual, y que las conclusiones y la reflexión se entregan en inglés.]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