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pPr>
              <w:spacing w:after="160" w:line="276" w:lineRule="auto"/>
              <w:jc w:val="both"/>
            </w:pPr>
            <w:r>
              <w:rPr>
                <w:rFonts w:eastAsiaTheme="majorEastAsia"/>
                <w:sz w:val="22"/>
                <w:szCs w:val="22"/>
              </w:rPr>
              <w:t xml:space="preserve">No del todo. Cumplimos a tiempo la base del proyecto (repositorio, backend en FastAPI y autenticación contra PostgreSQL), el simulador de la entidad financiera con la API de Cuentas del estándar de la CMF y la ingesta de datos: sincronización, almacenamiento del payload crudo en MongoDB, normalización al modelo canónico, deduplicación y detección de recurrencias. Con eso llegamos a la entrega de avance del 12 de octubre con el flujo funcionando de punta a punta, incluida la app móvil con sesión, dashboard de gastos y bandeja “Por revisar”. La clasificación de gastos se terminó con algunos días de atraso respecto del 16 de octubre: hoy cuenta con reglas por palabra clave y un modelo entrenado con sus métricas, pero todavía falta integrarla en la rama principal.</w:t>
            </w:r>
          </w:p>
          <w:p>
            <w:pPr>
              <w:spacing w:after="160" w:line="276" w:lineRule="auto"/>
              <w:jc w:val="both"/>
            </w:pPr>
            <w:r>
              <w:rPr>
                <w:rFonts w:eastAsiaTheme="majorEastAsia"/>
                <w:sz w:val="22"/>
                <w:szCs w:val="22"/>
              </w:rPr>
              <w:t xml:space="preserve">Quedaron atrás dos frentes. El primero es la capa de seguridad avanzada del SFA (mTLS, firma JWS y flujo PAR): decidimos implementar primero un flujo de consentimiento completo y verificable —token del participante, consentimiento con alcance RAR, autorización del cliente con su RUT y token de acceso atado a ese cliente— y dejar esas capas para después, tal como propone la guía del sandbox ATENA. El segundo es Monte Carlo: el cálculo del excedente debía comenzar el 12 de octubre y aún no parte. En cambio, adelantamos parte de lo relacionado con la Ley 21.719: el usuario puede revocar el consentimiento y, al desvincular su banco, se eliminan sus datos.</w:t>
            </w:r>
          </w:p>
          <w:p>
            <w:pPr>
              <w:spacing w:after="160" w:line="276" w:lineRule="auto"/>
              <w:jc w:val="both"/>
            </w:pPr>
            <w:r>
              <w:rPr>
                <w:rFonts w:eastAsiaTheme="majorEastAsia"/>
                <w:sz w:val="22"/>
                <w:szCs w:val="22"/>
              </w:rPr>
              <w:t xml:space="preserve">Nos facilitó trabajar sobre un estándar ya definido: la especificación OpenAPI de la CMF y la guía ATENA nos dieron un contrato claro, y los modelos del simulador se generan directamente desde esa especificación. También ayudó que el simulador produzca datos deterministas, lo que hace repetibles las pruebas; usar bases de datos gratuitas en la nube (Neon y MongoDB Atlas), y escribir pruebas automáticas, por ejemplo para comprobar que un usuario no puede ver los datos de otro.</w:t>
            </w:r>
          </w:p>
          <w:p>
            <w:pPr>
              <w:spacing w:after="160" w:line="276" w:lineRule="auto"/>
              <w:jc w:val="both"/>
            </w:pPr>
            <w:r>
              <w:rPr>
                <w:rFonts w:eastAsiaTheme="majorEastAsia"/>
                <w:sz w:val="22"/>
                <w:szCs w:val="22"/>
              </w:rPr>
              <w:t xml:space="preserve">Lo que más nos dificultó fue la integración entre ambos. Trabajamos en ramas que se separaron mucho de la principal y en algunos casos desarrollamos lo mismo en paralelo: el dashboard y la bandeja “Por revisar” quedaron hechos dos veces sobre arquitecturas distintas (datos locales en una versión, backend real en la otra), y reconciliarlos costó más que programarlos. También tuvimos problemas de entorno: Windows bloqueó la ejecución de pip, Docker no funcionó en uno de los equipos y migramos las bases a la nube, lo que trajo problemas de latencia que nos obligaron a reescribir la sincronización. Por último, no actualizamos el porcentaje de avance en la carta Gantt, lo que nos impidió ver a tiempo qué tareas se estaban atrasando.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pPr>
              <w:spacing w:after="160" w:line="276" w:lineRule="auto"/>
              <w:jc w:val="both"/>
            </w:pPr>
            <w:r>
              <w:rPr>
                <w:rFonts w:eastAsiaTheme="majorEastAsia"/>
                <w:sz w:val="22"/>
                <w:szCs w:val="22"/>
              </w:rPr>
              <w:t xml:space="preserve">Frente a cada dificultad técnica buscamos la causa antes que el parche. Cuando Docker falló, pasamos las bases de datos a servicios en la nube; cuando la latencia hizo que la primera sincronización tardara más de un minuto, la reescribimos para guardar los datos en lote y el tiempo bajó a menos de la mitad; y cuando dudábamos si un cambio rompía algo, escribimos pruebas automáticas que lo demuestran (aislamiento entre usuarios, actualización de compras pendientes, rechazo de credenciales incorrectas). Ante la seguridad avanzada del SFA tomamos una decisión explícita de alcance: primero un flujo completo y probado, y después mTLS, JWS y PAR.</w:t>
            </w:r>
          </w:p>
          <w:p>
            <w:pPr>
              <w:spacing w:after="160" w:line="276" w:lineRule="auto"/>
              <w:jc w:val="both"/>
            </w:pPr>
            <w:r>
              <w:rPr>
                <w:rFonts w:eastAsiaTheme="majorEastAsia"/>
                <w:sz w:val="22"/>
                <w:szCs w:val="22"/>
              </w:rPr>
              <w:t xml:space="preserve">Para lo que queda, el principal riesgo es la integración, así que nos proponemos integrar a la rama principal mediante pull requests pequeños y frecuentes, revisados por el otro integrante; acordar los cambios de arquitectura antes de programarlos, para no volver a duplicar trabajo; unificar en un solo pull request las ramas que hoy están separadas (backend por usuario, simulador con varios clientes y clasificador), y revisar la carta Gantt cada semana con el porcentaje real de avance, para priorizar Monte Carlo y las pruebas de integración antes de la entrega final del 16 de noviembre.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p>
          <w:p>
            <w:pPr>
              <w:spacing w:after="160" w:line="276" w:lineRule="auto"/>
              <w:jc w:val="both"/>
            </w:pPr>
            <w:r>
              <w:rPr>
                <w:rFonts w:eastAsiaTheme="majorEastAsia"/>
                <w:sz w:val="22"/>
                <w:szCs w:val="22"/>
              </w:rPr>
              <w:t xml:space="preserve">Evaluamos nuestro trabajo como bueno en lo técnico y mejorable en lo organizativo. Destacamos que el núcleo del sistema funciona de punta a punta siguiendo el estándar de la CMF: un usuario se registra, autoriza el acceso en su banco con su RUT y ve solo sus propios movimientos, clasificados y con sus suscripciones detectadas. También destacamos que las decisiones están justificadas y medidas: por ejemplo, el clasificador se evaluó con glosas que el modelo nunca vio y logra un 90 % de cobertura con un 100 % de precisión, en lugar de reportar un 100 % engañoso sobre los datos de entrenamiento, y se abstiene cuando no está seguro en vez de inventar una categoría.</w:t>
            </w:r>
          </w:p>
          <w:p>
            <w:pPr>
              <w:spacing w:after="160" w:line="276" w:lineRule="auto"/>
              <w:jc w:val="both"/>
            </w:pPr>
            <w:r>
              <w:rPr>
                <w:rFonts w:eastAsiaTheme="majorEastAsia"/>
                <w:sz w:val="22"/>
                <w:szCs w:val="22"/>
              </w:rPr>
              <w:t xml:space="preserve">Para mejorar, debemos integrar más seguido y en pasos más pequeños, mantener la carta Gantt al día, probar cada cambio en los equipos de ambos antes de darlo por terminado y documentar las decisiones de arquitectura en un lugar común, para que los dos trabajemos siempre sobre la misma base.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pPr>
              <w:spacing w:after="160" w:line="276" w:lineRule="auto"/>
              <w:jc w:val="both"/>
            </w:pPr>
            <w:r>
              <w:rPr>
                <w:rFonts w:eastAsiaTheme="majorEastAsia"/>
                <w:sz w:val="22"/>
                <w:szCs w:val="22"/>
              </w:rPr>
              <w:t xml:space="preserve">Nuestra principal inquietud es el alcance esperado en seguridad. ¿Basta con demostrar el flujo de consentimiento completo sobre el simulador, o se espera que implementemos mTLS, firma JWS y PAR para dar por cumplido el objetivo? Como el SFA entra en vigencia en julio de 2027, no podemos probar contra instituciones reales y nos gustaría saber cuánto peso tiene esa capa en la evaluación.</w:t>
            </w:r>
          </w:p>
          <w:p>
            <w:pPr>
              <w:spacing w:after="160" w:line="276" w:lineRule="auto"/>
              <w:jc w:val="both"/>
            </w:pPr>
            <w:r>
              <w:rPr>
                <w:rFonts w:eastAsiaTheme="majorEastAsia"/>
                <w:sz w:val="22"/>
                <w:szCs w:val="22"/>
              </w:rPr>
              <w:t xml:space="preserve">También nos preguntamos cómo validar el clasificador y la proyección de Monte Carlo sin datos reales, ya que todos nuestros datos son sintéticos. Al docente le preguntaríamos qué evidencia de validación se considera aceptable con datos simulados, y qué profundidad se espera en el cumplimiento de la Ley 21.719: si basta con el consentimiento y la supresión de datos, o si también se requiere portabilidad y bitácora de auditoría completa. A nuestros pares les preguntaríamos cómo organizan la integración de ramas cuando dos personas trabajan sobre los mismos archivos.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pPr>
              <w:spacing w:after="160" w:line="276" w:lineRule="auto"/>
              <w:jc w:val="both"/>
            </w:pPr>
            <w:r>
              <w:rPr>
                <w:rFonts w:eastAsiaTheme="majorEastAsia"/>
                <w:sz w:val="22"/>
                <w:szCs w:val="22"/>
              </w:rPr>
              <w:t xml:space="preserve">Sí, proponemos un ajuste. La reconciliación de las ramas es una actividad nueva que no estaba en la carta Gantt; proponemos asignarla a Pedro, que concentra el backend y las bases de datos, con revisión de Jossue en lo que afecte a la app y al simulador. La seguridad avanzada del SFA (mTLS, JWS y PAR) quedó pendiente y debe replanificarse, manteniendo la división original de la carta Gantt: la parte del servidor en el simulador y la del cliente en el backend.</w:t>
            </w:r>
          </w:p>
          <w:p>
            <w:pPr>
              <w:spacing w:after="160" w:line="276" w:lineRule="auto"/>
              <w:jc w:val="both"/>
            </w:pPr>
            <w:r>
              <w:rPr>
                <w:rFonts w:eastAsiaTheme="majorEastAsia"/>
                <w:sz w:val="22"/>
                <w:szCs w:val="22"/>
              </w:rPr>
              <w:t xml:space="preserve">Además, proponemos agregar dos actividades compartidas: actualizar la carta Gantt cada semana y revisar mutuamente los pull requests antes de integrarlos a la rama principal. Como parte de la tarea de Pedro sobre la Ley 21.719 ya está adelantada (revocación del consentimiento y eliminación de datos al desvincular un banco), ese tiempo puede destinarse a recuperar el atraso en el cálculo del excedente para Monte Carlo.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pPr>
              <w:spacing w:after="160" w:line="276" w:lineRule="auto"/>
              <w:jc w:val="both"/>
            </w:pPr>
            <w:r>
              <w:rPr>
                <w:rFonts w:eastAsiaTheme="majorEastAsia"/>
                <w:sz w:val="22"/>
                <w:szCs w:val="22"/>
              </w:rPr>
              <w:t xml:space="preserve">Evaluamos positivamente el trabajo en grupo en cuanto a la distribución de tareas y la comunicación técnica. La división de responsabilidades fue clara y complementaria: Jossue a cargo del simulador y el cliente SFA, Pedro del backend y las bases de datos, y ambos en la app móvil. Cuando un cambio afectaba al otro, lo comunicamos por escrito y con su justificación; por ejemplo, la propuesta de ajustes al esquema de la tabla de transacciones, que explicaba por qué el banco reenvía el mismo identificador con otro monto y cómo debía resolverse en la base de datos.</w:t>
            </w:r>
          </w:p>
          <w:p>
            <w:pPr>
              <w:spacing w:after="160" w:line="276" w:lineRule="auto"/>
              <w:jc w:val="both"/>
            </w:pPr>
            <w:r>
              <w:rPr>
                <w:rFonts w:eastAsiaTheme="majorEastAsia"/>
                <w:sz w:val="22"/>
                <w:szCs w:val="22"/>
              </w:rPr>
              <w:t xml:space="preserve">Lo que debemos mejorar es la coordinación al integrar. Avanzamos en paralelo sobre ramas que se alejaron de la principal, y eso nos llevó a duplicar trabajo y a tener dos versiones de la app con arquitecturas distintas. Para corregirlo, nos proponemos integrar con más frecuencia, acordar antes los cambios que afectan a ambos y revisar el trabajo del otro mediante pull requests.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