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3864" w:space="4" w:sz="10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38"/>
          <w:szCs w:val="38"/>
          <w:rtl w:val="0"/>
        </w:rPr>
        <w:t xml:space="preserve">F3 — Requisitos funcionales · Velvet Wallet (Fase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Proyecto APT: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Velvet Wallet — Aplicación móvil de finanzas personales consumidora del Sistema de Finanzas Abiertas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Asignatura: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Capstone APT122 · Ingeniería en Informática · Duoc UC, sede Puerto Montt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PADRON JOSSUE · TORRES PEDRO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Documento: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F3 — Requisitos funcionales preliminares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 26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Propósito.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Establece los requisitos funcionales del sistema, numerados y trazados a los objetivos específicos declarados en la Guía de Fase 1, de modo que puedan verificarse contra las pruebas durante el desarrollo. Corresponde al contenido exigido para la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d9dade" w:space="4" w:sz="6" w:val="single"/>
        </w:pBd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Los requisitos se derivan de los 6 objetivos específicos entregados en la Guía Fase 1 y se numeran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1029"/>
          <w:sz w:val="20"/>
          <w:szCs w:val="20"/>
          <w:rtl w:val="0"/>
        </w:rPr>
        <w:t xml:space="preserve">RF-NN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para poder trazarlos después contra las pruebas (bloque J del plan de tareas).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Registro de cambios · 2026-08-26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La versión inicial advertía que los objetivos específicos eran una reconstrucción y debían reemplazarse por los textos oficiales antes de la exposición. Al hacerlo se detectó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OE-1 y OE-2 estaban invertidos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respecto de la Guía entregada, lo que dejaba 16 requisitos trazados al objetivo equivocado.</w:t>
      </w: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Reemplazados por los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textos literales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 de la Guía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Trazabilidad corregida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 a RF-05 pasan de OE-1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OE-2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; RF-06 a RF-14 pasan de OE-2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; RF-33 pasa a OE-2/OE-6; RF-35 pasa a 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RF-05 ampliado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De "APIs de Cuentas" a "APIs de información del estándar", para incluir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Operaciones de 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Identificadores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Los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RF-NN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no cambiaron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, para no romper referencias existentes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El ajuste de RF-05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no agrega alcance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: es el mismo consumidor (OE-2) sobre otro conjunto de endpoints del mismo estándar, y el modelo de datos declarado en la Guía ya contempla créditos.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La Guía Fase 1 entregada no requiere modificación.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Ver la nota de alcance al final de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9"/>
          <w:szCs w:val="29"/>
          <w:rtl w:val="0"/>
        </w:rPr>
        <w:t xml:space="preserve">Objetivos específicos (textos oficiales de la Guía Fase 1)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Objetivo específico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Implementar un pipeline de ingesta que normalice y deduplique movimientos desde múltiples fuentes (API del SFA, cartolas CSV y carga manual) hacia un modelo canónico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Construir un consumidor de APIs conforme al estándar técnico del SFA (NCG 514, Anexo 3; FAPI 2.0 y OAuth 2.0), validado contra un simulador de proveedor de información desarrollado en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Desarrollar un modelo de clasificación automática de transacciones con reentrenamiento a partir de las correcciones del usuario (meta de precisión a definir tras medir el baseline).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Diseñar e implementar un algoritmo de detección de gastos recurrentes tolerante a variaciones de monto, fecha y glosa.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Implementar un motor de proyección basado en simulación de Monte Carlo que entregue plazos de cumplimiento de metas de ahorro con intervalos de confianza.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Implementar los mecanismos de cumplimiento de la Ley 21.719: consentimiento granular y revocable, portabilidad, bitácora de auditoría y notificación de brechas.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9"/>
          <w:szCs w:val="29"/>
          <w:rtl w:val="0"/>
        </w:rPr>
        <w:t xml:space="preserve">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Conexión y consentimiento (OE-2)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al usuario conectar una institución financiera participante del SFA mediante el flujo de autorización (PAR + consentimiento).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solicitar consentimiento granular (RAR): a qué cuentas y a qué datos se accede y por cuánto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mantener el ciclo de vida de los tokens: almacenamiento seguro, refresco automático y manejo del consentimiento expirado o revocado como acción del usuario, no como error técnico.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al usuario ver el estado de cada conexión por separado y revocar consentimientos de forma granular.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consumir las APIs de información del estándar —Cuentas y Operaciones de Crédito— obteniendo cuentas, saldos, movimientos y productos de crédito, manejando la paginación definida por la CMF.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Ingesta y normalización (OE-1)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almacenar el payload crudo tal como llegó, sin modificarlo, como base de trazabilidad.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sincronizar cada conexión de forma independiente, de modo que la caída de una institución no afecte a las demás.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normalizar cada movimiento al modelo canónico, provenga de API, cartola CSV o carga manual.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deduplicar movimientos que llegan por dos fuentes distintas, conservando ambos orígenes.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normalizar las glosas de comercio (por ejemplo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UBER *EATS 8829 SANTIAGO</w:t>
            </w:r>
            <w:sdt>
              <w:sdtPr>
                <w:id w:val="26387835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z w:val="19"/>
                    <w:szCs w:val="19"/>
                    <w:rtl w:val="0"/>
                  </w:rPr>
                  <w:t xml:space="preserve"> → "Uber Eats").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manejar la transición de movimientos pendientes a confirmados, actualizándolos sin duplicarlos aunque cambie el monto.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la importación de cartolas CSV para instituciones fuera del SFA e historial antiguo.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el registro manual de gastos (principalmente efectivo).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registrar las correcciones del usuario (recategorizar, marcar duplicado, excluir, dividir) sin sobrescribir el dato original.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Clasificación automática (OE-3)</w:t>
      </w:r>
      <w:r w:rsidDel="00000000" w:rsidR="00000000" w:rsidRPr="00000000">
        <w:rPr>
          <w:rtl w:val="0"/>
        </w:rPr>
      </w:r>
    </w:p>
    <w:tbl>
      <w:tblPr>
        <w:tblStyle w:val="Table5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clasificar automáticamente cada transacción en una categoría de gasto o ingreso.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resolver los comercios conocidos mediante un catálogo de reglas antes de invocar el modelo.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abstenerse de clasificar cuando la confianza es baja, en lugar de inventar una categoría.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presentar los movimientos sin categorizar en una bandeja de revisión, con las tres categorías más probables como sugerencia.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incorporar cada corrección del usuario al set de entrenamiento y al catálogo de comercios para reentrenar el clasificador.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Detección de recurrencias (OE-4)</w:t>
      </w:r>
      <w:r w:rsidDel="00000000" w:rsidR="00000000" w:rsidRPr="00000000">
        <w:rPr>
          <w:rtl w:val="0"/>
        </w:rPr>
      </w:r>
    </w:p>
    <w:tbl>
      <w:tblPr>
        <w:tblStyle w:val="Table6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detectar movimientos recurrentes tolerando variación de monto, fecha y glosa entre periodos.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persistir cada recurrencia con su periodicidad, monto esperado y próxima fecha estimada.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al usuario confirmar o descartar cada suscripción detectada.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Proyección financiera (OE-5)</w:t>
      </w:r>
      <w:r w:rsidDel="00000000" w:rsidR="00000000" w:rsidRPr="00000000">
        <w:rPr>
          <w:rtl w:val="0"/>
        </w:rPr>
      </w:r>
    </w:p>
    <w:tbl>
      <w:tblPr>
        <w:tblStyle w:val="Table7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calcular el excedente mensual real (ingresos menos gastos fijos, cuotas y suscripciones).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proyectar el cumplimiento de metas mediante simulación Monte Carlo, expresando el resultado con probabilidad (p. ej. "en 4 meses con 80%").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proyectar el flujo de caja hasta el día de pago e indicar la holgura disponible.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al usuario crear metas de ahorro y ver su proyección con probabilidad.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Cumplimiento Ley 21.719 (OE-6)</w:t>
      </w:r>
      <w:r w:rsidDel="00000000" w:rsidR="00000000" w:rsidRPr="00000000">
        <w:rPr>
          <w:rtl w:val="0"/>
        </w:rPr>
      </w:r>
    </w:p>
    <w:tbl>
      <w:tblPr>
        <w:tblStyle w:val="Table8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mostrar al usuario qué autorizó, a quién y por cuánto tiempo, permitiendo revocar de forma granular.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registrar toda acción de acceso a datos personales en una bitácora de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exportar la totalidad de los datos del usuario en formato estructurado (portabilidad).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el borrado de la cuenta y de todos los datos asociados (supresión).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cifrar en reposo los datos financieros sensibles.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soportar la detección de incidentes y el procedimiento de notificación de brechas en 72 horas.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Transversales (experiencia y confiabilidad)</w:t>
      </w:r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al usuario registrarse, iniciar sesión y gestionar su sesión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 / OE-6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mostrar en el dashboard cuánto tiene disponible el usuario en el mes de un vistazo.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indicar cuándo falta una cuenta por sincronizar y hasta cuándo el dato es confiable, sin mostrar nunca un total que parezca completo cuando no lo está.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sistema debe permitir configurar el sueldo y los gastos fijos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d9dade" w:space="4" w:sz="6" w:val="single"/>
        </w:pBd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9"/>
          <w:szCs w:val="29"/>
          <w:rtl w:val="0"/>
        </w:rPr>
        <w:t xml:space="preserve">Cobertura por objetivo</w:t>
      </w:r>
      <w:r w:rsidDel="00000000" w:rsidR="00000000" w:rsidRPr="00000000">
        <w:rPr>
          <w:rtl w:val="0"/>
        </w:rPr>
      </w:r>
    </w:p>
    <w:tbl>
      <w:tblPr>
        <w:tblStyle w:val="Table10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OE-1 — Ingesta y normalización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RF-06 … RF-14, RF-35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OE-2 — Consumidor del SFA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 … RF-05, RF-33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OE-3 — Clasificación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RF-15 … RF-19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OE-4 — Detección de recurrencias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RF-20 … RF-22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OE-5 — Proyección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RF-23 … RF-26, RF-34, RF-36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OE-6 — Cumplimiento Ley 21.719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RF-27 … RF-32, RF-33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Los 6 objetivos específicos tienen al menos un requisito asociado, y los 36 requisitos trazan a un objetivo. RF-33 traza a 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d9dade" w:space="4" w:sz="6" w:val="single"/>
        </w:pBd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9"/>
          <w:szCs w:val="29"/>
          <w:rtl w:val="0"/>
        </w:rPr>
        <w:t xml:space="preserve">Nota de alcance: productos de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Los créditos y las cuotas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están dentro del alcance comprometido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y no requieren un objetivo específico adicional. La justificación es que se trata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ingesta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no de un motor de cálculo:</w:t>
      </w:r>
      <w:r w:rsidDel="00000000" w:rsidR="00000000" w:rsidRPr="00000000">
        <w:rPr>
          <w:rtl w:val="0"/>
        </w:rPr>
      </w:r>
    </w:p>
    <w:tbl>
      <w:tblPr>
        <w:tblStyle w:val="Table1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 dónde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 que lo cubre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Cuota mensual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monthlyInstallment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 de Operaciones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RF-05, 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Plazo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loanTerm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Tasa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interestRate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periodInterestRate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Saldo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currentBalance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endOfMonthBalance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Tabla de amortización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b01029"/>
                <w:sz w:val="18"/>
                <w:szCs w:val="18"/>
                <w:rtl w:val="0"/>
              </w:rPr>
              <w:t xml:space="preserve">amortizationScheduleLink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: la API entrega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solo una URL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 al calendario del proveedor, que la aplicación enlaza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Peso de las cuotas en el excedente mensual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Cálculo propio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RF-23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, que ya exige "ingresos menos gastos fijos,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9"/>
                <w:szCs w:val="19"/>
                <w:rtl w:val="0"/>
              </w:rPr>
              <w:t xml:space="preserve">cuotas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 y suscripciones"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Queda explícitamente fuera de alcance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, por requerir un motor de cálculo que no está entre los 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Cálculo del CAE (Carga Anual Equivalente).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Verificado contra el OpenAPI publicado: el estándar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1"/>
          <w:szCs w:val="21"/>
          <w:rtl w:val="0"/>
        </w:rPr>
        <w:t xml:space="preserve">no expone el CAE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 en ningún campo. Derivarlo exigiría implementar la fórmula regulatoria.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Generación propia de tablas de amortización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dado que el estándar entrega solo el enlace.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prepago o refinanciamiento.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b01029" w:space="8" w:sz="18" w:val="single"/>
        </w:pBdr>
        <w:spacing w:after="160" w:before="8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84f"/>
          <w:sz w:val="21"/>
          <w:szCs w:val="21"/>
          <w:rtl w:val="0"/>
        </w:rPr>
        <w:t xml:space="preserve">Hallazgo sobre la especificación.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84f"/>
          <w:sz w:val="21"/>
          <w:szCs w:val="21"/>
          <w:rtl w:val="0"/>
        </w:rPr>
        <w:t xml:space="preserve"> En el schema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1029"/>
          <w:sz w:val="20"/>
          <w:szCs w:val="20"/>
          <w:rtl w:val="0"/>
        </w:rPr>
        <w:t xml:space="preserve">Loan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84f"/>
          <w:sz w:val="21"/>
          <w:szCs w:val="21"/>
          <w:rtl w:val="0"/>
        </w:rPr>
        <w:t xml:space="preserve"> del OpenAPI publicado, el campo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1029"/>
          <w:sz w:val="20"/>
          <w:szCs w:val="20"/>
          <w:rtl w:val="0"/>
        </w:rPr>
        <w:t xml:space="preserve">annualInterestRate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84f"/>
          <w:sz w:val="21"/>
          <w:szCs w:val="21"/>
          <w:rtl w:val="0"/>
        </w:rPr>
        <w:t xml:space="preserve"> aparece listado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b01029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84f"/>
          <w:sz w:val="21"/>
          <w:szCs w:val="21"/>
          <w:rtl w:val="0"/>
        </w:rPr>
        <w:t xml:space="preserve"> pero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44484f"/>
          <w:sz w:val="21"/>
          <w:szCs w:val="21"/>
          <w:rtl w:val="0"/>
        </w:rPr>
        <w:t xml:space="preserve">no está definido en `properties`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84f"/>
          <w:sz w:val="21"/>
          <w:szCs w:val="21"/>
          <w:rtl w:val="0"/>
        </w:rPr>
        <w:t xml:space="preserve">. Es una inconsistencia de la especificación oficial de la CMF, verificada el 2026-08-26. Vale la pena documentarla: el simulador debe decidir explícitamente cómo tratar ese campo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9pyrF5Nks7MAT7PUUb4UPtrNg==">CgMxLjAaJAoBMBIfCh0IB0IZCgVBcmlhbBIQQXJpYWwgVW5pY29kZSBNUzgAciExeHBLWE5jR3BsWG1yOGpsUWszVGtOdzAxcXY3ZlF1QVA=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