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Pr>
                <w:rFonts w:ascii="Calibri" w:hAnsi="Calibri"/>
                <w:color w:val="1F3864" w:themeColor="accent1" w:themeShade="80"/>
              </w:rPr>
              <w:t xml:space="preserve">Nombre estudiante</w:t>
            </w:r>
          </w:p>
        </w:tc>
        <w:tc>
          <w:tcPr>
            <w:tcW w:w="6964" w:type="dxa"/>
            <w:vAlign w:val="center"/>
          </w:tcPr>
          <w:p>
            <w:r>
              <w:t xml:space="preserve">Jossue Padrón</w:t>
            </w:r>
          </w:p>
          <w:p>
            <w:r>
              <w:t xml:space="preserve">Pedro Torres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r>
              <w:t xml:space="preserve">27.696.604-9</w:t>
            </w:r>
          </w:p>
          <w:p>
            <w:r>
              <w:t xml:space="preserve">21.738.030-8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r>
              <w:t xml:space="preserve">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r>
              <w:t xml:space="preserve">Puerto Montt — Jornada Vespertina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t xml:space="preserve">Velvet Wallet — Aplicación móvil de finanzas personales consumidora del Sistema de Finanzas Abiertas (SFA) de Chile.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r>
              <w:t xml:space="preserve">Desarrollo de aplicaciones y soluciones de software; gestión de bases de datos; desarrollo de plataformas y aplicaciones móviles. (Ajustar a las áreas de desempeño oficiales de la malla de Ingeniería en Informática.)</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t xml:space="preserve">El proyecto pone en práctica las 6 competencias del perfil de egreso (el mínimo exigido es 3):</w:t>
            </w:r>
          </w:p>
          <w:p>
            <w:r>
              <w:t xml:space="preserve">1. Desarrollar soluciones de software de calidad abarcando el ciclo de vida completo.</w:t>
            </w:r>
          </w:p>
          <w:p>
            <w:r>
              <w:t xml:space="preserve">2. Diseñar y gestionar bases de datos relacionales y no relacionales.</w:t>
            </w:r>
          </w:p>
          <w:p>
            <w:r>
              <w:t xml:space="preserve">3. Aplicar ingeniería de requisitos para soluciones de software complejas.</w:t>
            </w:r>
          </w:p>
          <w:p>
            <w:r>
              <w:t xml:space="preserve">4. Evaluar y gestionar proyectos de software.</w:t>
            </w:r>
          </w:p>
          <w:p>
            <w:r>
              <w:t xml:space="preserve">5. Aplicar estándares, marcos regulatorios y mecanismos de seguridad.</w:t>
            </w:r>
          </w:p>
          <w:p>
            <w:r>
              <w:t xml:space="preserve">6. Desarrollar soluciones para plataformas y dispositivos móviles.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r>
              <w:t xml:space="preserve">Las aplicaciones de finanzas personales actuales dependen de la carga manual de gastos o de conexiones no estandarizadas, poco seguras y difíciles de mantener. En Chile este escenario está por cambiar: la Ley 21.521 (Ley Fintec) creó el Sistema de Finanzas Abiertas (SFA), que obliga a las instituciones financieras a entregar los datos del cliente mediante APIs estandarizadas cuando este lo autoriza. La CMF ya publicó la especificación técnica (NCG 514), pero el sistema aún no está en producción y su implementación es gradual.</w:t>
            </w:r>
          </w:p>
          <w:p>
            <w:r>
              <w:t xml:space="preserve">El proyecto aborda cómo debe construirse una aplicación financiera en este nuevo marco: un consumidor del estándar del SFA, con inteligencia sobre los datos y conforme a la Ley 21.719 de protección de datos personales.</w:t>
            </w:r>
          </w:p>
          <w:p>
            <w:r>
              <w:t xml:space="preserve">Contexto: Chile; el marco regulatorio lo define la CMF a nivel nacional. Impacto: usuarios del sistema financiero chileno (personas y hogares) que buscan entender y proyectar sus finanzas. Aporte de valor: demostrar, sobre una especificación pública y un simulador propio, una implementación de referencia del consumidor del SFA, anticipándose a un estándar que marcará el desarrollo fintech del país.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Descripción del Proyecto APT</w:t>
            </w:r>
          </w:p>
        </w:tc>
        <w:tc>
          <w:tcPr>
            <w:tcW w:w="3744" w:type="pct"/>
            <w:vAlign w:val="center"/>
          </w:tcPr>
          <w:p>
            <w:r>
              <w:t xml:space="preserve">Objetivo: desarrollar una aplicación móvil de finanzas personales que, actuando como consumidor del SFA, automatice la captura y clasificación de movimientos y entregue proyecciones probabilísticas de capacidad de ahorro, cumpliendo la Ley 21.719.</w:t>
            </w:r>
          </w:p>
          <w:p>
            <w:r>
              <w:t xml:space="preserve">La solución es una app en React Native con backend en Django + DRF. Los datos entran por un pipeline de ingesta multifuente (API del SFA, cartolas CSV y carga manual): el payload crudo cae en MongoDB y un proceso de normalización lo lleva a un modelo canónico en PostgreSQL (ledger, cuentas, créditos y metas). Redis gestiona colas y caché.</w:t>
            </w:r>
          </w:p>
          <w:p>
            <w:r>
              <w:t xml:space="preserve">Como el SFA no está vigente, el cliente de APIs se valida contra un simulador de proveedor de información construido según la especificación de la CMF (OAuth 2.0 sobre FAPI 2.0). Sobre los datos operan tres capas: clasificación automática de gastos que aprende de las correcciones del usuario; detección algorítmica de suscripciones recurrentes; y proyección de metas de ahorro mediante simulación de Monte Carlo, entregando plazos con intervalo de confianza. Transversalmente, la capa de cumplimiento de la Ley 21.719: consentimientos revocables, bitácora de auditoría, portabilidad y cifrado en reposo.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Pertinencia del proyecto con el perfil de egreso</w:t>
            </w:r>
          </w:p>
        </w:tc>
        <w:tc>
          <w:tcPr>
            <w:tcW w:w="3744" w:type="pct"/>
            <w:vAlign w:val="center"/>
          </w:tcPr>
          <w:p>
            <w:r>
              <w:t xml:space="preserve">El proyecto ejercita las competencias del perfil de egreso de manera integrada:</w:t>
            </w:r>
          </w:p>
          <w:p>
            <w:r>
              <w:t xml:space="preserve">Comp. 1 — Ciclo de vida completo del software, con pruebas unitarias y métricas del clasificador.</w:t>
            </w:r>
          </w:p>
          <w:p>
            <w:r>
              <w:t xml:space="preserve">Comp. 2 — Bases de datos relacionales (PostgreSQL) y no relacionales (MongoDB), cada una justificada por la naturaleza del dato.</w:t>
            </w:r>
          </w:p>
          <w:p>
            <w:r>
              <w:t xml:space="preserve">Comp. 3 — Ingeniería de requisitos para una solución compleja, con requisitos derivados de un prototipo previo.</w:t>
            </w:r>
          </w:p>
          <w:p>
            <w:r>
              <w:t xml:space="preserve">Comp. 4 — Evaluación y gestión del proyecto: análisis de capacidad y corrección de sobrecompromiso.</w:t>
            </w:r>
          </w:p>
          <w:p>
            <w:r>
              <w:t xml:space="preserve">Comp. 5 — Estándares y marco regulatorio: NCG 514 / Anexo 3, FAPI 2.0, OAuth 2.0 y Ley 21.719.</w:t>
            </w:r>
          </w:p>
          <w:p>
            <w:r>
              <w:t xml:space="preserve">Comp. 6 — Plataforma móvil: aplicación en React Native + Expo.</w:t>
            </w:r>
          </w:p>
          <w:p>
            <w:r>
              <w:t xml:space="preserve">Cada competencia es necesaria para resolver el problema: sin el estándar y la seguridad no hay consumidor válido; sin las bases de datos no se sostiene la ingesta heterogénea; sin la app móvil no hay producto; y sin gestión de proyecto el alcance no cabría en el semestre.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
              <w:t xml:space="preserve">El equipo tiene interés profesional en el desarrollo de software full-stack, el trabajo con datos e inteligencia aplicada, y el dominio fintech. El proyecto reúne backend en Python, modelos de aprendizaje automático, integración con un estándar bancario y desarrollo móvil, que son exactamente las áreas en que el equipo busca proyectarse.</w:t>
            </w:r>
          </w:p>
          <w:p>
            <w:r>
              <w:t xml:space="preserve">Desarrollarlo aporta al crecimiento profesional al enfrentar un estándar regulatorio real y vigente en el corto plazo, generando experiencia directamente aplicable al mercado fintech chileno.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t xml:space="preserve">El proyecto es factible dentro del semestre. Se dispone de 11 semanas de desarrollo (semanas 5 a 15) y 2 integrantes: 22 semanas-persona brutas y, aplicando un factor de dedicación real de ~65% (otros ramos y semanas de documentación), ~14 semanas-persona efectivas.</w:t>
            </w:r>
          </w:p>
          <w:p>
            <w:r>
              <w:t xml:space="preserve">El compromiso base sumaba 19 semanas-persona (un 35% de sobrecompromiso), detectado en la semana 1. Se corrigió por reducción de alcance: el simulador solo consulta datos (no inicia pagos); el motor de créditos solo cuotas fijas (no rotativo); clasificador clásico en vez de deep learning; y app solo con flujos núcleo (la administración se resuelve con el admin de Django). Alcance ajustado: 14 semanas-persona, dentro de la capacidad.</w:t>
            </w:r>
          </w:p>
          <w:p>
            <w:r>
              <w:t xml:space="preserve">Materiales: equipos personales y software de código abierto sin costo (Django, PostgreSQL, MongoDB, Redis, React Native, Python).</w:t>
            </w:r>
          </w:p>
          <w:p>
            <w:r>
              <w:t xml:space="preserve">Factores que facilitan: especificación pública de la CMF disponible, stack conocido por el equipo y dominio financiero acotado al mercado chileno.</w:t>
            </w:r>
          </w:p>
          <w:p>
            <w:r>
              <w:t xml:space="preserve">Factores que dificultan y su mitigación: el SFA no está vigente (se mitiga con el simulador propio conforme a la norma); la complejidad del ML (se mitiga con un modelo clásico proporcional al problema); y el tiempo limitado (se mitiga con el recorte de alcance ya descrito).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r>
              <w:t xml:space="preserve">Desarrollar una aplicación móvil de gestión de finanzas personales que, actuando como consumidor del Sistema de Finanzas Abiertas chileno, automatice la captura y clasificación de movimientos financieros y entregue proyecciones probabilísticas de capacidad de ahorro, cumpliendo con la Ley 21.719 de protección de datos personales.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 xml:space="preserve">Objetivos específicos</w:t>
            </w:r>
          </w:p>
        </w:tc>
        <w:tc>
          <w:tcPr>
            <w:tcW w:w="6860" w:type="dxa"/>
            <w:vAlign w:val="center"/>
          </w:tcPr>
          <w:p>
            <w:r>
              <w:t xml:space="preserve">1. Implementar un pipeline de ingesta que normalice y deduplique movimientos desde múltiples fuentes (API del SFA, cartolas CSV y carga manual) hacia un modelo canónico único.</w:t>
            </w:r>
          </w:p>
          <w:p>
            <w:r>
              <w:t xml:space="preserve">2. Construir un consumidor de APIs conforme al estándar técnico del SFA (NCG 514, Anexo 3; FAPI 2.0 y OAuth 2.0), validado contra un simulador de proveedor de información desarrollado en el proyecto.</w:t>
            </w:r>
          </w:p>
          <w:p>
            <w:r>
              <w:t xml:space="preserve">3. Desarrollar un modelo de clasificación automática de transacciones con reentrenamiento a partir de las correcciones del usuario (meta de precisión a definir tras medir el baseline).</w:t>
            </w:r>
          </w:p>
          <w:p>
            <w:r>
              <w:t xml:space="preserve">4. Diseñar e implementar un algoritmo de detección de gastos recurrentes tolerante a variaciones de monto, fecha y glosa.</w:t>
            </w:r>
          </w:p>
          <w:p>
            <w:r>
              <w:t xml:space="preserve">5. Implementar un motor de proyección basado en simulación de Monte Carlo que entregue plazos de cumplimiento de metas de ahorro con intervalos de confianza.</w:t>
            </w:r>
          </w:p>
          <w:p>
            <w:r>
              <w:t xml:space="preserve">6. Implementar los mecanismos de cumplimiento de la Ley 21.719: consentimiento granular y revocable, portabilidad, bitácora de auditoría y notificación de brechas.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Descripción de la Metodología</w:t>
            </w:r>
          </w:p>
        </w:tc>
      </w:tr>
      <w:tr w:rsidR="00D110EC" w:rsidRPr="00A337B2" w14:paraId="425FDC12" w14:textId="77777777" w:rsidTr="00416B89">
        <w:trPr>
          <w:trHeight w:val="1920"/>
        </w:trPr>
        <w:tc>
          <w:tcPr>
            <w:tcW w:w="9498" w:type="dxa"/>
          </w:tcPr>
          <w:p>
            <w:r>
              <w:rPr>
                <w:b/>
              </w:rPr>
              <w:t xml:space="preserve">Descripción de la metodología</w:t>
            </w:r>
          </w:p>
          <w:p>
            <w:r>
              <w:t xml:space="preserve">Se adoptará una metodología iterativa e incremental, organizada por capas funcionales y alineada con las tres fases del Portafolio de Título. Cada capa (ingesta, consumidor SFA + simulador, clasificación, recurrencias, proyección, cumplimiento y app móvil) se construye, prueba y documenta antes de integrarse, priorizando primero los cimientos (ingesta, estándar y seguridad) y luego la inteligencia sobre los datos. El avance se controla contra el análisis de capacidad, ajustando alcance ante desviaciones.</w:t>
            </w:r>
          </w:p>
          <w:p>
            <w:r>
              <w:t xml:space="preserve">División de responsabilidades (grupal):</w:t>
            </w:r>
          </w:p>
          <w:p>
            <w:r>
              <w:t xml:space="preserve">Jossue Padrón — Backend (Django + DRF), pipeline de ingesta y normalización, bases de datos (PostgreSQL y MongoDB), cliente del SFA y simulador de proveedor, y las capas de inteligencia (clasificación, recurrencias y proyección Monte Carlo).</w:t>
            </w:r>
          </w:p>
          <w:p>
            <w:r>
              <w:t xml:space="preserve">Pedro Torres — Aplicación móvil (React Native + Expo), diseño de interfaz y experiencia de usuario, integración de la app con el backend, y los flujos de cumplimiento de la Ley 21.719 en el cliente (consentimientos y portabilidad).</w:t>
            </w:r>
          </w:p>
          <w:p>
            <w:r>
              <w:t xml:space="preserve">Ambos — Ingeniería de requisitos, pruebas, métricas, integración final y documentación de cada fase. (Ajustar la división según acuerden.)</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 xml:space="preserve">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t xml:space="preserve">Avance</w:t>
            </w:r>
          </w:p>
        </w:tc>
        <w:tc>
          <w:tcPr>
            <w:tcW w:w="1843" w:type="dxa"/>
          </w:tcPr>
          <w:p>
            <w:r>
              <w:t xml:space="preserve">Prototipo de ingesta + simulador SFA</w:t>
            </w:r>
          </w:p>
        </w:tc>
        <w:tc>
          <w:tcPr>
            <w:tcW w:w="3825" w:type="dxa"/>
          </w:tcPr>
          <w:p>
            <w:r>
              <w:t xml:space="preserve">Cliente que se conecta al simulador de proveedor (OAuth 2.0/FAPI 2.0), obtiene movimientos y los normaliza al modelo canónico.</w:t>
            </w:r>
          </w:p>
        </w:tc>
        <w:tc>
          <w:tcPr>
            <w:tcW w:w="2551" w:type="dxa"/>
          </w:tcPr>
          <w:p>
            <w:r>
              <w:t xml:space="preserve">Demuestra el consumidor del estándar y el pipeline de ingesta (Comp. 2, 3, 5).</w:t>
            </w:r>
          </w:p>
        </w:tc>
      </w:tr>
      <w:tr w:rsidR="00D110EC" w:rsidRPr="00CA29F2" w14:paraId="76C9D9C6" w14:textId="77777777" w:rsidTr="009D04DC">
        <w:trPr>
          <w:trHeight w:val="362"/>
        </w:trPr>
        <w:tc>
          <w:tcPr>
            <w:tcW w:w="1843" w:type="dxa"/>
          </w:tcPr>
          <w:p>
            <w:r>
              <w:t xml:space="preserve">Avance</w:t>
            </w:r>
          </w:p>
        </w:tc>
        <w:tc>
          <w:tcPr>
            <w:tcW w:w="1843" w:type="dxa"/>
          </w:tcPr>
          <w:p>
            <w:r>
              <w:t xml:space="preserve">Modelo de clasificación con métricas</w:t>
            </w:r>
          </w:p>
        </w:tc>
        <w:tc>
          <w:tcPr>
            <w:tcW w:w="3825" w:type="dxa"/>
          </w:tcPr>
          <w:p>
            <w:r>
              <w:t xml:space="preserve">Clasificador automático de gastos entrenado, con baseline de precisión y curva de mejora por reentrenamiento.</w:t>
            </w:r>
          </w:p>
        </w:tc>
        <w:tc>
          <w:tcPr>
            <w:tcW w:w="2551" w:type="dxa"/>
          </w:tcPr>
          <w:p>
            <w:r>
              <w:t xml:space="preserve">Evidencia la capa de ML y su medición (Comp. 1, 3).</w:t>
            </w:r>
          </w:p>
        </w:tc>
      </w:tr>
      <w:tr w:rsidR="00D110EC" w:rsidRPr="00CA29F2" w14:paraId="34B7F5BE" w14:textId="77777777" w:rsidTr="009D04DC">
        <w:trPr>
          <w:trHeight w:val="362"/>
        </w:trPr>
        <w:tc>
          <w:tcPr>
            <w:tcW w:w="1843" w:type="dxa"/>
          </w:tcPr>
          <w:p>
            <w:r>
              <w:t xml:space="preserve">Final</w:t>
            </w:r>
          </w:p>
        </w:tc>
        <w:tc>
          <w:tcPr>
            <w:tcW w:w="1843" w:type="dxa"/>
          </w:tcPr>
          <w:p>
            <w:r>
              <w:t xml:space="preserve">Aplicación móvil funcional</w:t>
            </w:r>
          </w:p>
        </w:tc>
        <w:tc>
          <w:tcPr>
            <w:tcW w:w="3825" w:type="dxa"/>
          </w:tcPr>
          <w:p>
            <w:r>
              <w:t xml:space="preserve">App React Native con flujos núcleo: dashboard, gastos, metas y consentimientos, integrada al backend.</w:t>
            </w:r>
          </w:p>
        </w:tc>
        <w:tc>
          <w:tcPr>
            <w:tcW w:w="2551" w:type="dxa"/>
          </w:tcPr>
          <w:p>
            <w:r>
              <w:t xml:space="preserve">Producto principal demostrable en la presentación (Comp. 6).</w:t>
            </w:r>
          </w:p>
        </w:tc>
      </w:tr>
      <w:tr w:rsidR="00D110EC" w:rsidRPr="00CA29F2" w14:paraId="5A718B97" w14:textId="77777777" w:rsidTr="009D04DC">
        <w:trPr>
          <w:trHeight w:val="362"/>
        </w:trPr>
        <w:tc>
          <w:tcPr>
            <w:tcW w:w="1843" w:type="dxa"/>
          </w:tcPr>
          <w:p>
            <w:r>
              <w:t xml:space="preserve">Final</w:t>
            </w:r>
          </w:p>
        </w:tc>
        <w:tc>
          <w:tcPr>
            <w:tcW w:w="1843" w:type="dxa"/>
          </w:tcPr>
          <w:p>
            <w:r>
              <w:t xml:space="preserve">Proyección Monte Carlo, recurrencias y cumplimiento Ley 21.719</w:t>
            </w:r>
          </w:p>
        </w:tc>
        <w:tc>
          <w:tcPr>
            <w:tcW w:w="3825" w:type="dxa"/>
          </w:tcPr>
          <w:p>
            <w:r>
              <w:t xml:space="preserve">Motor de proyección con intervalos de confianza, detección de suscripciones y mecanismos de consentimiento, bitácora y portabilidad operativos.</w:t>
            </w:r>
          </w:p>
        </w:tc>
        <w:tc>
          <w:tcPr>
            <w:tcW w:w="2551" w:type="dxa"/>
          </w:tcPr>
          <w:p>
            <w:r>
              <w:t xml:space="preserve">Cierra las capas de inteligencia y el cumplimiento regulatorio (Comp. 1, 5).</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 xml:space="preserve">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r>
              <w:t xml:space="preserve">3, 4</w:t>
            </w:r>
          </w:p>
        </w:tc>
        <w:tc>
          <w:tcPr>
            <w:tcW w:w="1580" w:type="dxa"/>
          </w:tcPr>
          <w:p>
            <w:r>
              <w:t xml:space="preserve">Definición y requisitos</w:t>
            </w:r>
          </w:p>
        </w:tc>
        <w:tc>
          <w:tcPr>
            <w:tcW w:w="1580" w:type="dxa"/>
          </w:tcPr>
          <w:p>
            <w:r>
              <w:t xml:space="preserve">Levantamiento de requisitos, alcance, objetivos y análisis de capacidad del proyecto.</w:t>
            </w:r>
          </w:p>
        </w:tc>
        <w:tc>
          <w:tcPr>
            <w:tcW w:w="1580" w:type="dxa"/>
          </w:tcPr>
          <w:p>
            <w:r>
              <w:t xml:space="preserve">Documentación CMF, ofimática</w:t>
            </w:r>
          </w:p>
        </w:tc>
        <w:tc>
          <w:tcPr>
            <w:tcW w:w="1580" w:type="dxa"/>
            <w:tcBorders>
              <w:right w:val="single" w:sz="4" w:space="0" w:color="FFFFFF" w:themeColor="background1"/>
            </w:tcBorders>
          </w:tcPr>
          <w:p>
            <w:r>
              <w:t xml:space="preserve">Semanas 1-4</w:t>
            </w:r>
          </w:p>
        </w:tc>
        <w:tc>
          <w:tcPr>
            <w:tcW w:w="1580" w:type="dxa"/>
            <w:tcBorders>
              <w:left w:val="single" w:sz="4" w:space="0" w:color="FFFFFF" w:themeColor="background1"/>
            </w:tcBorders>
            <w:shd w:val="clear" w:color="auto" w:fill="D9D9D9" w:themeFill="background1" w:themeFillShade="D9"/>
          </w:tcPr>
          <w:p>
            <w:r>
              <w:t xml:space="preserve">Ambos</w:t>
            </w:r>
          </w:p>
        </w:tc>
        <w:tc>
          <w:tcPr>
            <w:tcW w:w="1581" w:type="dxa"/>
          </w:tcPr>
          <w:p>
            <w:r>
              <w:t xml:space="preserve">Base del proyecto; sobrealcance mitigado con recorte temprano.</w:t>
            </w:r>
          </w:p>
        </w:tc>
      </w:tr>
      <w:tr w:rsidR="00D110EC" w:rsidRPr="00A337B2" w14:paraId="77458A90" w14:textId="77777777" w:rsidTr="00C27FB0">
        <w:trPr>
          <w:jc w:val="center"/>
        </w:trPr>
        <w:tc>
          <w:tcPr>
            <w:tcW w:w="1580" w:type="dxa"/>
          </w:tcPr>
          <w:p>
            <w:r>
              <w:t xml:space="preserve">2, 5</w:t>
            </w:r>
          </w:p>
        </w:tc>
        <w:tc>
          <w:tcPr>
            <w:tcW w:w="1580" w:type="dxa"/>
          </w:tcPr>
          <w:p>
            <w:r>
              <w:t xml:space="preserve">Cliente del SFA y simulador</w:t>
            </w:r>
          </w:p>
        </w:tc>
        <w:tc>
          <w:tcPr>
            <w:tcW w:w="1580" w:type="dxa"/>
          </w:tcPr>
          <w:p>
            <w:r>
              <w:t xml:space="preserve">Consumidor de APIs (OAuth 2.0/FAPI 2.0) y simulador de proveedor conforme a la NCG 514.</w:t>
            </w:r>
          </w:p>
        </w:tc>
        <w:tc>
          <w:tcPr>
            <w:tcW w:w="1580" w:type="dxa"/>
          </w:tcPr>
          <w:p>
            <w:r>
              <w:t xml:space="preserve">Python, spec CMF (Anexo 3)</w:t>
            </w:r>
          </w:p>
        </w:tc>
        <w:tc>
          <w:tcPr>
            <w:tcW w:w="1580" w:type="dxa"/>
            <w:tcBorders>
              <w:right w:val="single" w:sz="4" w:space="0" w:color="FFFFFF" w:themeColor="background1"/>
            </w:tcBorders>
          </w:tcPr>
          <w:p>
            <w:r>
              <w:t xml:space="preserve">Semanas 5-7</w:t>
            </w:r>
          </w:p>
        </w:tc>
        <w:tc>
          <w:tcPr>
            <w:tcW w:w="1580" w:type="dxa"/>
            <w:tcBorders>
              <w:left w:val="single" w:sz="4" w:space="0" w:color="FFFFFF" w:themeColor="background1"/>
            </w:tcBorders>
            <w:shd w:val="clear" w:color="auto" w:fill="D9D9D9" w:themeFill="background1" w:themeFillShade="D9"/>
          </w:tcPr>
          <w:p>
            <w:r>
              <w:t xml:space="preserve">Jossue</w:t>
            </w:r>
          </w:p>
        </w:tc>
        <w:tc>
          <w:tcPr>
            <w:tcW w:w="1581" w:type="dxa"/>
          </w:tcPr>
          <w:p>
            <w:r>
              <w:t xml:space="preserve">SFA no vigente; mitigado con simulador propio.</w:t>
            </w:r>
          </w:p>
        </w:tc>
      </w:tr>
      <w:tr w:rsidR="00D110EC" w:rsidRPr="00A337B2" w14:paraId="50E58212" w14:textId="77777777" w:rsidTr="00C27FB0">
        <w:trPr>
          <w:jc w:val="center"/>
        </w:trPr>
        <w:tc>
          <w:tcPr>
            <w:tcW w:w="1580" w:type="dxa"/>
          </w:tcPr>
          <w:p>
            <w:r>
              <w:t xml:space="preserve">2, 3</w:t>
            </w:r>
          </w:p>
        </w:tc>
        <w:tc>
          <w:tcPr>
            <w:tcW w:w="1580" w:type="dxa"/>
          </w:tcPr>
          <w:p>
            <w:r>
              <w:t xml:space="preserve">Ingesta y normalización</w:t>
            </w:r>
          </w:p>
        </w:tc>
        <w:tc>
          <w:tcPr>
            <w:tcW w:w="1580" w:type="dxa"/>
          </w:tcPr>
          <w:p>
            <w:r>
              <w:t xml:space="preserve">Ingesta multifuente a MongoDB y normalización a modelo canónico en PostgreSQL.</w:t>
            </w:r>
          </w:p>
        </w:tc>
        <w:tc>
          <w:tcPr>
            <w:tcW w:w="1580" w:type="dxa"/>
          </w:tcPr>
          <w:p>
            <w:r>
              <w:t xml:space="preserve">Python, MongoDB, PostgreSQL</w:t>
            </w:r>
          </w:p>
        </w:tc>
        <w:tc>
          <w:tcPr>
            <w:tcW w:w="1580" w:type="dxa"/>
            <w:tcBorders>
              <w:right w:val="single" w:sz="4" w:space="0" w:color="FFFFFF" w:themeColor="background1"/>
            </w:tcBorders>
          </w:tcPr>
          <w:p>
            <w:r>
              <w:t xml:space="preserve">Semanas 6-8</w:t>
            </w:r>
          </w:p>
        </w:tc>
        <w:tc>
          <w:tcPr>
            <w:tcW w:w="1580" w:type="dxa"/>
            <w:tcBorders>
              <w:left w:val="single" w:sz="4" w:space="0" w:color="FFFFFF" w:themeColor="background1"/>
            </w:tcBorders>
            <w:shd w:val="clear" w:color="auto" w:fill="D9D9D9" w:themeFill="background1" w:themeFillShade="D9"/>
          </w:tcPr>
          <w:p>
            <w:r>
              <w:t xml:space="preserve">Jossue</w:t>
            </w:r>
          </w:p>
        </w:tc>
        <w:tc>
          <w:tcPr>
            <w:tcW w:w="1581" w:type="dxa"/>
          </w:tcPr>
          <w:p>
            <w:r>
              <w:t xml:space="preserve">Esquemas heterogéneos por fuente.</w:t>
            </w:r>
          </w:p>
        </w:tc>
      </w:tr>
      <w:tr w:rsidR="00D110EC" w:rsidRPr="00A337B2" w14:paraId="77458A90" w14:textId="77777777" w:rsidTr="00C27FB0">
        <w:trPr>
          <w:jc w:val="center"/>
        </w:trPr>
        <w:tc>
          <w:tcPr>
            <w:tcW w:w="1580" w:type="dxa"/>
          </w:tcPr>
          <w:p>
            <w:r>
              <w:t xml:space="preserve">1, 3</w:t>
            </w:r>
          </w:p>
        </w:tc>
        <w:tc>
          <w:tcPr>
            <w:tcW w:w="1580" w:type="dxa"/>
          </w:tcPr>
          <w:p>
            <w:r>
              <w:t xml:space="preserve">Clasificador automático</w:t>
            </w:r>
          </w:p>
        </w:tc>
        <w:tc>
          <w:tcPr>
            <w:tcW w:w="1580" w:type="dxa"/>
          </w:tcPr>
          <w:p>
            <w:r>
              <w:t xml:space="preserve">Modelo scikit-learn (TF-IDF) con reentrenamiento por correcciones del usuario.</w:t>
            </w:r>
          </w:p>
        </w:tc>
        <w:tc>
          <w:tcPr>
            <w:tcW w:w="1580" w:type="dxa"/>
          </w:tcPr>
          <w:p>
            <w:r>
              <w:t xml:space="preserve">Python, scikit-learn</w:t>
            </w:r>
          </w:p>
        </w:tc>
        <w:tc>
          <w:tcPr>
            <w:tcW w:w="1580" w:type="dxa"/>
            <w:tcBorders>
              <w:right w:val="single" w:sz="4" w:space="0" w:color="FFFFFF" w:themeColor="background1"/>
            </w:tcBorders>
          </w:tcPr>
          <w:p>
            <w:r>
              <w:t xml:space="preserve">Semanas 8-10</w:t>
            </w:r>
          </w:p>
        </w:tc>
        <w:tc>
          <w:tcPr>
            <w:tcW w:w="1580" w:type="dxa"/>
            <w:tcBorders>
              <w:left w:val="single" w:sz="4" w:space="0" w:color="FFFFFF" w:themeColor="background1"/>
            </w:tcBorders>
            <w:shd w:val="clear" w:color="auto" w:fill="D9D9D9" w:themeFill="background1" w:themeFillShade="D9"/>
          </w:tcPr>
          <w:p>
            <w:r>
              <w:t xml:space="preserve">Jossue</w:t>
            </w:r>
          </w:p>
        </w:tc>
        <w:tc>
          <w:tcPr>
            <w:tcW w:w="1581" w:type="dxa"/>
          </w:tcPr>
          <w:p>
            <w:r>
              <w:t xml:space="preserve">Meta de precisión tras baseline.</w:t>
            </w:r>
          </w:p>
        </w:tc>
      </w:tr>
      <w:tr w:rsidR="00D110EC" w:rsidRPr="00A337B2" w14:paraId="77458A90" w14:textId="77777777" w:rsidTr="00C27FB0">
        <w:trPr>
          <w:jc w:val="center"/>
        </w:trPr>
        <w:tc>
          <w:tcPr>
            <w:tcW w:w="1580" w:type="dxa"/>
          </w:tcPr>
          <w:p>
            <w:r>
              <w:t xml:space="preserve">1</w:t>
            </w:r>
          </w:p>
        </w:tc>
        <w:tc>
          <w:tcPr>
            <w:tcW w:w="1580" w:type="dxa"/>
          </w:tcPr>
          <w:p>
            <w:r>
              <w:t xml:space="preserve">Detección de recurrencias</w:t>
            </w:r>
          </w:p>
        </w:tc>
        <w:tc>
          <w:tcPr>
            <w:tcW w:w="1580" w:type="dxa"/>
          </w:tcPr>
          <w:p>
            <w:r>
              <w:t xml:space="preserve">Algoritmo tolerante a variación de monto, fecha y glosa para hallar suscripciones.</w:t>
            </w:r>
          </w:p>
        </w:tc>
        <w:tc>
          <w:tcPr>
            <w:tcW w:w="1580" w:type="dxa"/>
          </w:tcPr>
          <w:p>
            <w:r>
              <w:t xml:space="preserve">Python</w:t>
            </w:r>
          </w:p>
        </w:tc>
        <w:tc>
          <w:tcPr>
            <w:tcW w:w="1580" w:type="dxa"/>
            <w:tcBorders>
              <w:right w:val="single" w:sz="4" w:space="0" w:color="FFFFFF" w:themeColor="background1"/>
            </w:tcBorders>
          </w:tcPr>
          <w:p>
            <w:r>
              <w:t xml:space="preserve">Semanas 10-11</w:t>
            </w:r>
          </w:p>
        </w:tc>
        <w:tc>
          <w:tcPr>
            <w:tcW w:w="1580" w:type="dxa"/>
            <w:tcBorders>
              <w:left w:val="single" w:sz="4" w:space="0" w:color="FFFFFF" w:themeColor="background1"/>
            </w:tcBorders>
            <w:shd w:val="clear" w:color="auto" w:fill="D9D9D9" w:themeFill="background1" w:themeFillShade="D9"/>
          </w:tcPr>
          <w:p>
            <w:r>
              <w:t xml:space="preserve">Jossue / Pedro</w:t>
            </w:r>
          </w:p>
        </w:tc>
        <w:tc>
          <w:tcPr>
            <w:tcW w:w="1581" w:type="dxa"/>
          </w:tcPr>
          <w:p>
            <w:r>
              <w:t xml:space="preserve">—</w:t>
            </w:r>
          </w:p>
        </w:tc>
      </w:tr>
      <w:tr w:rsidR="00D110EC" w:rsidRPr="00A337B2" w14:paraId="77458A90" w14:textId="77777777" w:rsidTr="00C27FB0">
        <w:trPr>
          <w:jc w:val="center"/>
        </w:trPr>
        <w:tc>
          <w:tcPr>
            <w:tcW w:w="1580" w:type="dxa"/>
          </w:tcPr>
          <w:p>
            <w:r>
              <w:t xml:space="preserve">1, 3</w:t>
            </w:r>
          </w:p>
        </w:tc>
        <w:tc>
          <w:tcPr>
            <w:tcW w:w="1580" w:type="dxa"/>
          </w:tcPr>
          <w:p>
            <w:r>
              <w:t xml:space="preserve">Motor de proyección Monte Carlo</w:t>
            </w:r>
          </w:p>
        </w:tc>
        <w:tc>
          <w:tcPr>
            <w:tcW w:w="1580" w:type="dxa"/>
          </w:tcPr>
          <w:p>
            <w:r>
              <w:t xml:space="preserve">Simulación sobre la distribución del gasto; plazos de metas con intervalo de confianza.</w:t>
            </w:r>
          </w:p>
        </w:tc>
        <w:tc>
          <w:tcPr>
            <w:tcW w:w="1580" w:type="dxa"/>
          </w:tcPr>
          <w:p>
            <w:r>
              <w:t xml:space="preserve">Python</w:t>
            </w:r>
          </w:p>
        </w:tc>
        <w:tc>
          <w:tcPr>
            <w:tcW w:w="1580" w:type="dxa"/>
            <w:tcBorders>
              <w:right w:val="single" w:sz="4" w:space="0" w:color="FFFFFF" w:themeColor="background1"/>
            </w:tcBorders>
          </w:tcPr>
          <w:p>
            <w:r>
              <w:t xml:space="preserve">Semanas 11-12</w:t>
            </w:r>
          </w:p>
        </w:tc>
        <w:tc>
          <w:tcPr>
            <w:tcW w:w="1580" w:type="dxa"/>
            <w:tcBorders>
              <w:left w:val="single" w:sz="4" w:space="0" w:color="FFFFFF" w:themeColor="background1"/>
            </w:tcBorders>
            <w:shd w:val="clear" w:color="auto" w:fill="D9D9D9" w:themeFill="background1" w:themeFillShade="D9"/>
          </w:tcPr>
          <w:p>
            <w:r>
              <w:t xml:space="preserve">Jossue</w:t>
            </w:r>
          </w:p>
        </w:tc>
        <w:tc>
          <w:tcPr>
            <w:tcW w:w="1581" w:type="dxa"/>
          </w:tcPr>
          <w:p>
            <w:r>
              <w:t xml:space="preserve">—</w:t>
            </w:r>
          </w:p>
        </w:tc>
      </w:tr>
      <w:tr w:rsidR="00D110EC" w:rsidRPr="00A337B2" w14:paraId="77458A90" w14:textId="77777777" w:rsidTr="00C27FB0">
        <w:trPr>
          <w:jc w:val="center"/>
        </w:trPr>
        <w:tc>
          <w:tcPr>
            <w:tcW w:w="1580" w:type="dxa"/>
          </w:tcPr>
          <w:p>
            <w:r>
              <w:t xml:space="preserve">6</w:t>
            </w:r>
          </w:p>
        </w:tc>
        <w:tc>
          <w:tcPr>
            <w:tcW w:w="1580" w:type="dxa"/>
          </w:tcPr>
          <w:p>
            <w:r>
              <w:t xml:space="preserve">Aplicación móvil (flujos núcleo)</w:t>
            </w:r>
          </w:p>
        </w:tc>
        <w:tc>
          <w:tcPr>
            <w:tcW w:w="1580" w:type="dxa"/>
          </w:tcPr>
          <w:p>
            <w:r>
              <w:t xml:space="preserve">App React Native: dashboard, gastos, metas y consentimientos.</w:t>
            </w:r>
          </w:p>
        </w:tc>
        <w:tc>
          <w:tcPr>
            <w:tcW w:w="1580" w:type="dxa"/>
          </w:tcPr>
          <w:p>
            <w:r>
              <w:t xml:space="preserve">React Native, Expo</w:t>
            </w:r>
          </w:p>
        </w:tc>
        <w:tc>
          <w:tcPr>
            <w:tcW w:w="1580" w:type="dxa"/>
            <w:tcBorders>
              <w:right w:val="single" w:sz="4" w:space="0" w:color="FFFFFF" w:themeColor="background1"/>
            </w:tcBorders>
          </w:tcPr>
          <w:p>
            <w:r>
              <w:t xml:space="preserve">Semanas 6-13</w:t>
            </w:r>
          </w:p>
        </w:tc>
        <w:tc>
          <w:tcPr>
            <w:tcW w:w="1580" w:type="dxa"/>
            <w:tcBorders>
              <w:left w:val="single" w:sz="4" w:space="0" w:color="FFFFFF" w:themeColor="background1"/>
            </w:tcBorders>
            <w:shd w:val="clear" w:color="auto" w:fill="D9D9D9" w:themeFill="background1" w:themeFillShade="D9"/>
          </w:tcPr>
          <w:p>
            <w:r>
              <w:t xml:space="preserve">Pedro</w:t>
            </w:r>
          </w:p>
        </w:tc>
        <w:tc>
          <w:tcPr>
            <w:tcW w:w="1581" w:type="dxa"/>
          </w:tcPr>
          <w:p>
            <w:r>
              <w:t xml:space="preserve">Administración resuelta con admin de Django.</w:t>
            </w:r>
          </w:p>
        </w:tc>
      </w:tr>
      <w:tr w:rsidR="00D110EC" w:rsidRPr="00A337B2" w14:paraId="77458A90" w14:textId="77777777" w:rsidTr="00C27FB0">
        <w:trPr>
          <w:jc w:val="center"/>
        </w:trPr>
        <w:tc>
          <w:tcPr>
            <w:tcW w:w="1580" w:type="dxa"/>
          </w:tcPr>
          <w:p>
            <w:r>
              <w:t xml:space="preserve">5</w:t>
            </w:r>
          </w:p>
        </w:tc>
        <w:tc>
          <w:tcPr>
            <w:tcW w:w="1580" w:type="dxa"/>
          </w:tcPr>
          <w:p>
            <w:r>
              <w:t xml:space="preserve">Cumplimiento Ley 21.719</w:t>
            </w:r>
          </w:p>
        </w:tc>
        <w:tc>
          <w:tcPr>
            <w:tcW w:w="1580" w:type="dxa"/>
          </w:tcPr>
          <w:p>
            <w:r>
              <w:t xml:space="preserve">Consentimientos revocables, bitácora de auditoría, portabilidad y cifrado en reposo.</w:t>
            </w:r>
          </w:p>
        </w:tc>
        <w:tc>
          <w:tcPr>
            <w:tcW w:w="1580" w:type="dxa"/>
          </w:tcPr>
          <w:p>
            <w:r>
              <w:t xml:space="preserve">Django, PostgreSQL</w:t>
            </w:r>
          </w:p>
        </w:tc>
        <w:tc>
          <w:tcPr>
            <w:tcW w:w="1580" w:type="dxa"/>
            <w:tcBorders>
              <w:right w:val="single" w:sz="4" w:space="0" w:color="FFFFFF" w:themeColor="background1"/>
            </w:tcBorders>
          </w:tcPr>
          <w:p>
            <w:r>
              <w:t xml:space="preserve">Semanas 12-14</w:t>
            </w:r>
          </w:p>
        </w:tc>
        <w:tc>
          <w:tcPr>
            <w:tcW w:w="1580" w:type="dxa"/>
            <w:tcBorders>
              <w:left w:val="single" w:sz="4" w:space="0" w:color="FFFFFF" w:themeColor="background1"/>
            </w:tcBorders>
            <w:shd w:val="clear" w:color="auto" w:fill="D9D9D9" w:themeFill="background1" w:themeFillShade="D9"/>
          </w:tcPr>
          <w:p>
            <w:r>
              <w:t xml:space="preserve">Pedro / Jossue</w:t>
            </w:r>
          </w:p>
        </w:tc>
        <w:tc>
          <w:tcPr>
            <w:tcW w:w="1581" w:type="dxa"/>
          </w:tcPr>
          <w:p>
            <w:r>
              <w:t xml:space="preserve">—</w:t>
            </w:r>
          </w:p>
        </w:tc>
      </w:tr>
      <w:tr w:rsidR="00D110EC" w:rsidRPr="00A337B2" w14:paraId="77458A90" w14:textId="77777777" w:rsidTr="00C27FB0">
        <w:trPr>
          <w:jc w:val="center"/>
        </w:trPr>
        <w:tc>
          <w:tcPr>
            <w:tcW w:w="1580" w:type="dxa"/>
          </w:tcPr>
          <w:p>
            <w:r>
              <w:t xml:space="preserve">1, 4</w:t>
            </w:r>
          </w:p>
        </w:tc>
        <w:tc>
          <w:tcPr>
            <w:tcW w:w="1580" w:type="dxa"/>
          </w:tcPr>
          <w:p>
            <w:r>
              <w:t xml:space="preserve">Integración, pruebas y documentación</w:t>
            </w:r>
          </w:p>
        </w:tc>
        <w:tc>
          <w:tcPr>
            <w:tcW w:w="1580" w:type="dxa"/>
          </w:tcPr>
          <w:p>
            <w:r>
              <w:t xml:space="preserve">Integración de capas, pruebas unitarias, métricas e informes por fase.</w:t>
            </w:r>
          </w:p>
        </w:tc>
        <w:tc>
          <w:tcPr>
            <w:tcW w:w="1580" w:type="dxa"/>
          </w:tcPr>
          <w:p>
            <w:r>
              <w:t xml:space="preserve">Testing, ofimática</w:t>
            </w:r>
          </w:p>
        </w:tc>
        <w:tc>
          <w:tcPr>
            <w:tcW w:w="1580" w:type="dxa"/>
            <w:tcBorders>
              <w:right w:val="single" w:sz="4" w:space="0" w:color="FFFFFF" w:themeColor="background1"/>
            </w:tcBorders>
          </w:tcPr>
          <w:p>
            <w:r>
              <w:t xml:space="preserve">Semanas 13-16</w:t>
            </w:r>
          </w:p>
        </w:tc>
        <w:tc>
          <w:tcPr>
            <w:tcW w:w="1580" w:type="dxa"/>
            <w:tcBorders>
              <w:left w:val="single" w:sz="4" w:space="0" w:color="FFFFFF" w:themeColor="background1"/>
            </w:tcBorders>
            <w:shd w:val="clear" w:color="auto" w:fill="D9D9D9" w:themeFill="background1" w:themeFillShade="D9"/>
          </w:tcPr>
          <w:p>
            <w:r>
              <w:t xml:space="preserve">Ambos</w:t>
            </w:r>
          </w:p>
        </w:tc>
        <w:tc>
          <w:tcPr>
            <w:tcW w:w="1581" w:type="dxa"/>
          </w:tcPr>
          <w:p>
            <w:r>
              <w:t xml:space="preserve">Transversal a todas las fases.</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r>
              <w:t xml:space="preserve">Definición y requisitos</w:t>
            </w:r>
          </w:p>
        </w:tc>
        <w:tc>
          <w:tcPr>
            <w:tcW w:w="536" w:type="dxa"/>
          </w:tcPr>
          <w:p>
            <w:pPr>
              <w:jc w:val="center"/>
            </w:pPr>
            <w:r>
              <w:t xml:space="preserve">X</w:t>
            </w:r>
          </w:p>
        </w:tc>
        <w:tc>
          <w:tcPr>
            <w:tcW w:w="522" w:type="dxa"/>
          </w:tcPr>
          <w:p>
            <w:pPr>
              <w:jc w:val="center"/>
            </w:pPr>
            <w:r>
              <w:t xml:space="preserve">X</w:t>
            </w:r>
          </w:p>
        </w:tc>
        <w:tc>
          <w:tcPr>
            <w:tcW w:w="523" w:type="dxa"/>
          </w:tcPr>
          <w:p>
            <w:pPr>
              <w:jc w:val="center"/>
            </w:pPr>
            <w:r>
              <w:t xml:space="preserve">X</w:t>
            </w:r>
          </w:p>
        </w:tc>
        <w:tc>
          <w:tcPr>
            <w:tcW w:w="526" w:type="dxa"/>
          </w:tcPr>
          <w:p>
            <w:pPr>
              <w:jc w:val="center"/>
            </w:pPr>
            <w:r>
              <w:t xml:space="preserve">X</w:t>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Cliente SFA y simulador</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02951CD5" w14:textId="77777777" w:rsidTr="00D110EC">
        <w:trPr>
          <w:gridAfter w:val="1"/>
          <w:wAfter w:w="10" w:type="dxa"/>
          <w:trHeight w:val="294"/>
        </w:trPr>
        <w:tc>
          <w:tcPr>
            <w:tcW w:w="1351" w:type="dxa"/>
          </w:tcPr>
          <w:p>
            <w:r>
              <w:t xml:space="preserve">Ingesta y normalización</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Clasificador automático</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r>
              <w:t xml:space="preserve"/>
            </w:r>
          </w:p>
        </w:tc>
        <w:tc>
          <w:tcPr>
            <w:tcW w:w="523" w:type="dxa"/>
          </w:tcPr>
          <w:p>
            <w:r>
              <w:t xml:space="preserve"/>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Detección de recurrencias</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pPr>
              <w:jc w:val="center"/>
            </w:pPr>
            <w:r>
              <w:t xml:space="preserve">X</w:t>
            </w:r>
          </w:p>
        </w:tc>
        <w:tc>
          <w:tcPr>
            <w:tcW w:w="523" w:type="dxa"/>
          </w:tcPr>
          <w:p>
            <w:pPr>
              <w:jc w:val="center"/>
            </w:pPr>
            <w:r>
              <w:t xml:space="preserve">X</w:t>
            </w:r>
          </w:p>
        </w:tc>
        <w:tc>
          <w:tcPr>
            <w:tcW w:w="523" w:type="dxa"/>
          </w:tcPr>
          <w:p>
            <w:r>
              <w:t xml:space="preserve"/>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Motor de proyección Monte Carlo</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pPr>
              <w:jc w:val="center"/>
            </w:pPr>
            <w:r>
              <w:t xml:space="preserve">X</w:t>
            </w:r>
          </w:p>
        </w:tc>
        <w:tc>
          <w:tcPr>
            <w:tcW w:w="523" w:type="dxa"/>
          </w:tcPr>
          <w:p>
            <w:pPr>
              <w:jc w:val="center"/>
            </w:pPr>
            <w:r>
              <w:t xml:space="preserve">X</w:t>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Aplicación móvil (flujos núcleo)</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3" w:type="dxa"/>
          </w:tcPr>
          <w:p>
            <w:pPr>
              <w:jc w:val="center"/>
            </w:pPr>
            <w:r>
              <w:t xml:space="preserve">X</w:t>
            </w:r>
          </w:p>
        </w:tc>
        <w:tc>
          <w:tcPr>
            <w:tcW w:w="525" w:type="dxa"/>
          </w:tcPr>
          <w:p>
            <w:pPr>
              <w:jc w:val="center"/>
            </w:pPr>
            <w:r>
              <w:t xml:space="preserve">X</w:t>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Cumplimiento Ley 21.719</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pPr>
              <w:jc w:val="center"/>
            </w:pPr>
            <w:r>
              <w:t xml:space="preserve">X</w:t>
            </w:r>
          </w:p>
        </w:tc>
        <w:tc>
          <w:tcPr>
            <w:tcW w:w="525" w:type="dxa"/>
          </w:tcPr>
          <w:p>
            <w:pPr>
              <w:jc w:val="center"/>
            </w:pPr>
            <w:r>
              <w:t xml:space="preserve">X</w:t>
            </w:r>
          </w:p>
        </w:tc>
        <w:tc>
          <w:tcPr>
            <w:tcW w:w="525" w:type="dxa"/>
          </w:tcPr>
          <w:p>
            <w:pPr>
              <w:jc w:val="center"/>
            </w:pPr>
            <w:r>
              <w:t xml:space="preserve">X</w:t>
            </w:r>
          </w:p>
        </w:tc>
        <w:tc>
          <w:tcPr>
            <w:tcW w:w="525" w:type="dxa"/>
          </w:tcPr>
          <w:p>
            <w:r>
              <w:t xml:space="preserve"/>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Integración y pruebas</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5" w:type="dxa"/>
          </w:tcPr>
          <w:p>
            <w:pPr>
              <w:jc w:val="center"/>
            </w:pPr>
            <w:r>
              <w:t xml:space="preserve">X</w:t>
            </w:r>
          </w:p>
        </w:tc>
        <w:tc>
          <w:tcPr>
            <w:tcW w:w="525" w:type="dxa"/>
          </w:tcPr>
          <w:p>
            <w:pPr>
              <w:jc w:val="center"/>
            </w:pPr>
            <w:r>
              <w:t xml:space="preserve">X</w:t>
            </w:r>
          </w:p>
        </w:tc>
        <w:tc>
          <w:tcPr>
            <w:tcW w:w="525" w:type="dxa"/>
          </w:tcPr>
          <w:p>
            <w:pPr>
              <w:jc w:val="center"/>
            </w:pPr>
            <w:r>
              <w:t xml:space="preserve">X</w:t>
            </w:r>
          </w:p>
        </w:tc>
        <w:tc>
          <w:tcPr>
            <w:tcW w:w="525" w:type="dxa"/>
            <w:gridSpan w:val="2"/>
          </w:tcPr>
          <w:p>
            <w:r>
              <w:t xml:space="preserve"/>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Documentación e informes</w:t>
            </w:r>
          </w:p>
        </w:tc>
        <w:tc>
          <w:tcPr>
            <w:tcW w:w="536" w:type="dxa"/>
          </w:tcPr>
          <w:p>
            <w:r>
              <w:t xml:space="preserve"/>
            </w:r>
          </w:p>
        </w:tc>
        <w:tc>
          <w:tcPr>
            <w:tcW w:w="522" w:type="dxa"/>
          </w:tcPr>
          <w:p>
            <w:r>
              <w:t xml:space="preserve"/>
            </w:r>
          </w:p>
        </w:tc>
        <w:tc>
          <w:tcPr>
            <w:tcW w:w="523" w:type="dxa"/>
          </w:tcPr>
          <w:p>
            <w:r>
              <w:t xml:space="preserve"/>
            </w:r>
          </w:p>
        </w:tc>
        <w:tc>
          <w:tcPr>
            <w:tcW w:w="526" w:type="dxa"/>
          </w:tcPr>
          <w:p>
            <w:pPr>
              <w:jc w:val="center"/>
            </w:pPr>
            <w:r>
              <w:t xml:space="preserve">X</w:t>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pPr>
              <w:jc w:val="center"/>
            </w:pPr>
            <w:r>
              <w:t xml:space="preserve">X</w:t>
            </w:r>
          </w:p>
        </w:tc>
        <w:tc>
          <w:tcPr>
            <w:tcW w:w="523" w:type="dxa"/>
          </w:tcPr>
          <w:p>
            <w:r>
              <w:t xml:space="preserve"/>
            </w:r>
          </w:p>
        </w:tc>
        <w:tc>
          <w:tcPr>
            <w:tcW w:w="523" w:type="dxa"/>
          </w:tcPr>
          <w:p>
            <w:r>
              <w:t xml:space="preserve"/>
            </w:r>
          </w:p>
        </w:tc>
        <w:tc>
          <w:tcPr>
            <w:tcW w:w="525" w:type="dxa"/>
          </w:tcPr>
          <w:p>
            <w:r>
              <w:t xml:space="preserve"/>
            </w:r>
          </w:p>
        </w:tc>
        <w:tc>
          <w:tcPr>
            <w:tcW w:w="525" w:type="dxa"/>
          </w:tcPr>
          <w:p>
            <w:r>
              <w:t xml:space="preserve"/>
            </w:r>
          </w:p>
        </w:tc>
        <w:tc>
          <w:tcPr>
            <w:tcW w:w="525" w:type="dxa"/>
          </w:tcPr>
          <w:p>
            <w:pPr>
              <w:jc w:val="center"/>
            </w:pPr>
            <w:r>
              <w:t xml:space="preserve">X</w:t>
            </w:r>
          </w:p>
        </w:tc>
        <w:tc>
          <w:tcPr>
            <w:tcW w:w="525" w:type="dxa"/>
            <w:gridSpan w:val="2"/>
          </w:tcPr>
          <w:p>
            <w:pPr>
              <w:jc w:val="center"/>
            </w:pPr>
            <w:r>
              <w:t xml:space="preserve">X</w:t>
            </w:r>
          </w:p>
        </w:tc>
        <w:tc>
          <w:tcPr>
            <w:tcW w:w="525" w:type="dxa"/>
          </w:tcPr>
          <w:p>
            <w:r>
              <w:t xml:space="preserve"/>
            </w:r>
          </w:p>
        </w:tc>
        <w:tc>
          <w:tcPr>
            <w:tcW w:w="525" w:type="dxa"/>
          </w:tcPr>
          <w:p>
            <w:r>
              <w:t xml:space="preserve"/>
            </w:r>
          </w:p>
        </w:tc>
      </w:tr>
      <w:tr w:rsidR="00D110EC" w14:paraId="53B6C8F1" w14:textId="77777777" w:rsidTr="00D110EC">
        <w:trPr>
          <w:gridAfter w:val="1"/>
          <w:wAfter w:w="10" w:type="dxa"/>
          <w:trHeight w:val="303"/>
        </w:trPr>
        <w:tc>
          <w:tcPr>
            <w:tcW w:w="1351" w:type="dxa"/>
          </w:tcPr>
          <w:p>
            <w:r>
              <w:t xml:space="preserve">Presentación final</w:t>
            </w:r>
          </w:p>
        </w:tc>
        <w:tc>
          <w:tcPr>
            <w:tcW w:w="536" w:type="dxa"/>
          </w:tcPr>
          <w:p>
            <w:r>
              <w:t xml:space="preserve"/>
            </w:r>
          </w:p>
        </w:tc>
        <w:tc>
          <w:tcPr>
            <w:tcW w:w="522" w:type="dxa"/>
          </w:tcPr>
          <w:p>
            <w:r>
              <w:t xml:space="preserve"/>
            </w:r>
          </w:p>
        </w:tc>
        <w:tc>
          <w:tcPr>
            <w:tcW w:w="523" w:type="dxa"/>
          </w:tcPr>
          <w:p>
            <w:r>
              <w:t xml:space="preserve"/>
            </w:r>
          </w:p>
        </w:tc>
        <w:tc>
          <w:tcPr>
            <w:tcW w:w="526"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3" w:type="dxa"/>
          </w:tcPr>
          <w:p>
            <w:r>
              <w:t xml:space="preserve"/>
            </w:r>
          </w:p>
        </w:tc>
        <w:tc>
          <w:tcPr>
            <w:tcW w:w="525" w:type="dxa"/>
          </w:tcPr>
          <w:p>
            <w:r>
              <w:t xml:space="preserve"/>
            </w:r>
          </w:p>
        </w:tc>
        <w:tc>
          <w:tcPr>
            <w:tcW w:w="525" w:type="dxa"/>
          </w:tcPr>
          <w:p>
            <w:r>
              <w:t xml:space="preserve"/>
            </w:r>
          </w:p>
        </w:tc>
        <w:tc>
          <w:tcPr>
            <w:tcW w:w="525" w:type="dxa"/>
          </w:tcPr>
          <w:p>
            <w:r>
              <w:t xml:space="preserve"/>
            </w:r>
          </w:p>
        </w:tc>
        <w:tc>
          <w:tcPr>
            <w:tcW w:w="525" w:type="dxa"/>
            <w:gridSpan w:val="2"/>
          </w:tcPr>
          <w:p>
            <w:r>
              <w:t xml:space="preserve"/>
            </w:r>
          </w:p>
        </w:tc>
        <w:tc>
          <w:tcPr>
            <w:tcW w:w="525" w:type="dxa"/>
          </w:tcPr>
          <w:p>
            <w:pPr>
              <w:jc w:val="center"/>
            </w:pPr>
            <w:r>
              <w:t xml:space="preserve">X</w:t>
            </w:r>
          </w:p>
        </w:tc>
        <w:tc>
          <w:tcPr>
            <w:tcW w:w="525" w:type="dxa"/>
          </w:tcPr>
          <w:p>
            <w:pPr>
              <w:jc w:val="center"/>
            </w:pPr>
            <w:r>
              <w:t xml:space="preserve">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