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77777777" w:rsidR="00050706" w:rsidRPr="00B4008E" w:rsidRDefault="00050706" w:rsidP="00E42375">
            <w:pPr>
              <w:rPr>
                <w:b/>
              </w:rPr>
            </w:pPr>
            <w:r>
              <w:rPr>
                <w:b/>
              </w:rPr>
              <w:t>Velvet Wallet — Aplicación móvil de finanzas personales consumidora del Sistema de Finanzas Abiertas chileno</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33BA552F" w:rsidR="00050706" w:rsidRPr="00B4008E" w:rsidRDefault="00050706" w:rsidP="00050706">
            <w:pPr>
              <w:rPr>
                <w:b/>
              </w:rPr>
            </w:pPr>
            <w:r>
              <w:rPr>
                <w:b w:val="0"/>
              </w:rPr>
              <w:t>Desarrollo de software y aplicaciones móviles.</w:t>
            </w:r>
          </w:p>
          <w:p w14:paraId="2466888A" w14:textId="33BA552F" w:rsidR="00050706" w:rsidRPr="00B4008E" w:rsidRDefault="00050706" w:rsidP="00050706">
            <w:pPr>
              <w:rPr>
                <w:b/>
              </w:rPr>
            </w:pPr>
            <w:r>
              <w:rPr>
                <w:b w:val="0"/>
              </w:rPr>
              <w:t>Gestión de datos y bases de datos.</w:t>
            </w:r>
          </w:p>
          <w:p w14:paraId="2466888A" w14:textId="33BA552F" w:rsidR="00050706" w:rsidRPr="00B4008E" w:rsidRDefault="00050706" w:rsidP="00050706">
            <w:pPr>
              <w:rPr>
                <w:b/>
              </w:rPr>
            </w:pPr>
            <w:r>
              <w:rPr>
                <w:b w:val="0"/>
              </w:rPr>
              <w:t>Seguridad informática y cumplimiento normativo.</w:t>
            </w:r>
          </w:p>
          <w:p w14:paraId="2466888A" w14:textId="33BA552F" w:rsidR="00050706" w:rsidRPr="00B4008E" w:rsidRDefault="00050706" w:rsidP="00050706">
            <w:pPr>
              <w:rPr>
                <w:b/>
              </w:rPr>
            </w:pPr>
            <w:r>
              <w:rPr>
                <w:b w:val="0"/>
              </w:rPr>
              <w:t>Gestión de proyectos informáticos.</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rPr>
                <w:b/>
              </w:rPr>
            </w:pPr>
            <w:r>
              <w:rPr>
                <w:b w:val="0"/>
              </w:rPr>
              <w:t>El proyecto aborda las seis competencias del perfil de egreso. El mínimo exigido por la asignatura es de tres.</w:t>
            </w:r>
          </w:p>
          <w:p w14:paraId="2366AA78" w14:textId="433C129D" w:rsidR="00050706" w:rsidRPr="00B4008E" w:rsidRDefault="00050706" w:rsidP="00050706">
            <w:pPr>
              <w:rPr>
                <w:b/>
              </w:rPr>
            </w:pPr>
          </w:p>
          <w:p w14:paraId="2366AA78" w14:textId="433C129D" w:rsidR="00050706" w:rsidRPr="00B4008E" w:rsidRDefault="00050706" w:rsidP="00050706">
            <w:pPr>
              <w:rPr>
                <w:b/>
              </w:rPr>
            </w:pPr>
            <w:r>
              <w:rPr>
                <w:b w:val="0"/>
              </w:rPr>
              <w:t>1. Diseñar y generar soluciones de software innovadoras y de calidad, aplicando el ciclo de vida del software. Se evidencia en el desarrollo completo del sistema y en las pruebas automatizadas que lo respaldan.</w:t>
            </w:r>
          </w:p>
          <w:p w14:paraId="2366AA78" w14:textId="433C129D" w:rsidR="00050706" w:rsidRPr="00B4008E" w:rsidRDefault="00050706" w:rsidP="00050706">
            <w:pPr>
              <w:rPr>
                <w:b/>
              </w:rPr>
            </w:pPr>
            <w:r>
              <w:rPr>
                <w:b w:val="0"/>
              </w:rPr>
              <w:t>2. Resolver requerimientos de información mediante bases de datos relacionales y no relacionales. Se evidencia en la persistencia políglota: PostgreSQL para el modelo canónico y MongoDB para los cargamentos crudos de ingesta, cuya elección responde a que los datos de cada institución no tienen esquema fijo.</w:t>
            </w:r>
          </w:p>
          <w:p w14:paraId="2366AA78" w14:textId="433C129D" w:rsidR="00050706" w:rsidRPr="00B4008E" w:rsidRDefault="00050706" w:rsidP="00050706">
            <w:pPr>
              <w:rPr>
                <w:b/>
              </w:rPr>
            </w:pPr>
            <w:r>
              <w:rPr>
                <w:b w:val="0"/>
              </w:rPr>
              <w:t>3. Aplicar ingeniería de requisitos con metodologías de vanguardia para soluciones TI complejas. Se evidencia en que los requisitos derivan de las limitaciones detectadas en el uso real de un prototipo previo, y no de supuestos.</w:t>
            </w:r>
          </w:p>
          <w:p w14:paraId="2366AA78" w14:textId="433C129D" w:rsidR="00050706" w:rsidRPr="00B4008E" w:rsidRDefault="00050706" w:rsidP="00050706">
            <w:pPr>
              <w:rPr>
                <w:b/>
              </w:rPr>
            </w:pPr>
            <w:r>
              <w:rPr>
                <w:b w:val="0"/>
              </w:rPr>
              <w:t>4. Evaluar y gestionar proyectos informáticos durante todo su ciclo de vida. Se evidencia en el análisis de capacidad en semanas-persona, la detección temprana de un sobrecompromiso del 35% y su corrección mediante reducción documentada del alcance.</w:t>
            </w:r>
          </w:p>
          <w:p w14:paraId="2366AA78" w14:textId="433C129D" w:rsidR="00050706" w:rsidRPr="00B4008E" w:rsidRDefault="00050706" w:rsidP="00050706">
            <w:pPr>
              <w:rPr>
                <w:b/>
              </w:rPr>
            </w:pPr>
            <w:r>
              <w:rPr>
                <w:b w:val="0"/>
              </w:rPr>
              <w:t>5. Diseñar software conforme a estándares, marcos de trabajo y regulatorios, con foco en calidad, seguridad y sostenibilidad. Se evidencia en la implementación del estándar técnico del Sistema de Finanzas Abiertas (NCG N°514, Anexo N°3) y de los mecanismos exigidos por la Ley 21.719.</w:t>
            </w:r>
          </w:p>
          <w:p w14:paraId="2366AA78" w14:textId="433C129D" w:rsidR="00050706" w:rsidRPr="00B4008E" w:rsidRDefault="00050706" w:rsidP="00050706">
            <w:pPr>
              <w:rPr>
                <w:b/>
              </w:rPr>
            </w:pPr>
            <w:r>
              <w:rPr>
                <w:b w:val="0"/>
              </w:rPr>
              <w:t>6. Desarrollar proyectos para plataformas y dispositivos móviles. Se evidencia en la aplicación construida en React Native con Expo.</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rPr>
              <w:t>El problema</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Los datos financieros de una persona están repartidos entre instituciones que no se comunican entre sí: el banco, el emisor de la tarjeta, la fintech. Para reunirlos, hoy existen dos caminos y ambos son malos. El primero es que la persona transcriba manualmente cada movimiento, lo que en la práctica se abandona a las pocas semanas. El segundo es entregar la clave del banco a una aplicación que extrae los datos por raspado de pantalla, lo que es inseguro e ilegítimo.</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rPr>
              <w:t>Por qué es relevante para la profesión</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La Ley 21.521 y la Norma de Carácter General N°514 de la Comisión para el Mercado Financiero establecen el Sistema de Finanzas Abiertas: los datos financieros pertenecen al usuario y las instituciones quedan obligadas a exponerlos mediante interfaces estandarizadas a quien el usuario autorice. Su entrada en vigencia fue postergada a julio de 2027. A su vez, la Ley 21.719 de protección de datos personales entra en vigencia el 1 de diciembre de 2026.</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Esto abre una ventana de preparación en la que la industria necesitará desarrolladores capaces de construir sobre el estándar, y define el aporte del proyecto: una implementación de referencia de un consumidor del Sistema de Finanzas Abiertas chileno, construida contra la especificación pública antes de su entrada en vigencia.</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rPr>
              <w:t>Dónde se sitúa y a quiénes afecta</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El proyecto se sitúa en Chile y está diseñado para la realidad financiera local: pesos chilenos, sueldo mensual, gastos fijos estables, compras en cuotas y metas de ahorro. Está dirigido al usuario común, no al experto en finanzas: personas con ingreso formal mensual que necesitan responder tres preguntas en segundos —cuánto tengo disponible este mes, en qué se me va el dinero y cuándo podré comprar lo que quiero—.</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rPr>
              <w:t>Aporte de valor</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El proyecto parte de un prototipo previo cuyo uso real reveló tres limitaciones concretas: la carga manual de datos provocaba abandono, el módulo de créditos no reflejaba el costo real del financiamiento en cuotas, y la proyección de metas suponía un excedente mensual constante que no se cumple en la práctica. Esas tres limitaciones justifican las tres capas técnicas principales del proyecto. El aporte es, por tanto, verificable: cada capa responde a un problema observado y no a una hipótesis.</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rPr>
              <w:t>Limitación declarada</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No es posible conectarse a instituciones financieras reales porque el sistema no se encuentra vigente. El desarrollo se realiza contra la especificación pública y un simulador de proveedor de información construido por el equipo, lo que obligó a implementar y comprender ambos lados del estándar.</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rPr>
              <w:t>Objetivo general</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Desarrollar una aplicación móvil de gestión de finanzas personales que, actuando como consumidor del Sistema de Finanzas Abiertas chileno, automatice la captura y clasificación de movimientos financieros y entregue proyecciones probabilísticas de capacidad de ahorro, cumpliendo con la Ley 21.719 de protección de datos personales.</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rPr>
              <w:t>Objetivos específicos</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1. Implementar un pipeline de ingesta que normalice y deduplique movimientos provenientes de múltiples fuentes heterogéneas (interfaz del Sistema de Finanzas Abiertas, cartolas en formato CSV y carga manual) hacia un modelo canónico único, con normalización de las glosas de comercio.</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2. Construir un consumidor de interfaces conforme al estándar técnico del Sistema de Finanzas Abiertas (Anexo N°3 de la NCG N°514, sobre FAPI 2.0 y OAuth 2.0), validado contra un simulador de proveedor de información desarrollado como parte del proyecto.</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3. Desarrollar un modelo de clasificación automática de transacciones con ciclo de reentrenamiento a partir de las correcciones del usuario, alcanzando una precisión mínima del 85% con una cobertura mínima del 80% sobre el conjunto de prueba.</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4. Diseñar e implementar un algoritmo de detección de gastos recurrentes tolerante a variaciones de monto, desplazamiento de fecha y cambios en la glosa del comercio.</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5. Implementar un motor de proyección basado en simulación de Monte Carlo que entregue plazos de cumplimiento de metas de ahorro expresados con niveles de probabilidad, en reemplazo del cálculo determinista por excedente promedio.</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6. Implementar los mecanismos de cumplimiento de la Ley 21.719: consentimiento granular y revocable, portabilidad de los datos del titular, bitácora de auditoría de accesos y flujo de notificación de brechas.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Metodología utilizada</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Metodología ágil, con enfoque iterativo e incremental organizado por capas funcionales. No se adoptó Scrum de forma estricta, y esa decisión se fundamenta más abajo.</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Fases y procedimientos</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Cada capa funcional constituye un incremento y se construye, prueba y documenta antes de integrarse a la rama principal. El orden de construcción no es arbitrario: primero los cimientos —ingesta, estándar y seguridad— y después la inteligencia sobre los datos, porque una capa de análisis sin datos que procesar no se puede demostrar ni medir.</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El trabajo se organizó en tres fases alineadas con el Portafolio de Título. La primera comprendió la definición del problema, la ingeniería de requisitos derivada del prototipo previo, el análisis de capacidad y el diseño del modelo de datos. La segunda comprendió la construcción de las capas funcionales. La tercera comprendió la integración final, las pruebas y la documentación.</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Mecanismo de control</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El avance se midió contra un análisis de capacidad expresado en semanas-persona. Ante una desviación, la variable de ajuste es el alcance, no la calidad ni el plazo, porque los plazos los fija la asignatura. Este mecanismo se activó en cuatro ocasiones documentadas: el sobrecompromiso del 35% detectado en la primera semana, el cambio de framework del backend, la falta de acceso al sandbox oficial de la Comisión para el Mercado Financiero y la indisponibilidad temporal del modelo de clasificación.</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Pertinencia de la metodología</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Es pertinente por tres razones verificables en la ejecución del proyecto. Primero, los requisitos cambiaron en más de una ocasión durante las primeras semanas; una metodología en cascada habría obligado a rehacer la planificación completa cada vez. Segundo, el proyecto se compone de capas con dependencias claras entre sí, lo que hace natural tratarlas como incrementos sucesivos. Tercero, el equipo es de dos personas en jornada vespertina y con otras asignaturas en paralelo, por lo que no puede sostener de forma realista las ceremonias ni los tres roles diferenciados que exige Scrum. Declarar un marco de trabajo que después no se aplica resta valor a la planificación; se declaró el enfoque que el equipo efectivamente puede sostener y evidenciar.</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Etapas y actividades del proyecto</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1 a 4: definición del problema, ingeniería de requisitos derivada del prototipo previo, análisis de capacidad, diseño del modelo de datos y planificación del trabajo.</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5 a 7: construcción del cliente del Sistema de Finanzas Abiertas y del simulador de proveedor de información, con flujo de autorización OAuth 2.0, solicitud por canal posterior y PKCE.</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6 a 8: entorno de bases de datos y pipeline de ingesta, normalización y deduplicación hacia el modelo canónico.</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6 a 13: aplicación móvil con los flujos núcleo: panel, gastos, metas y consentimientos.</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8 a 10: modelo de clasificación automática de transacciones y su integración.</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9 a 12: motor de proyección Monte Carlo, adelantado respecto del plan original.</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10 a 11: algoritmo de detección de gastos recurrentes y suscripciones.</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9 a 14: mecanismos de cumplimiento de la Ley 21.719, iniciados antes de lo planificado con el consentimiento por finalidad de tratamiento.</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13 a 16: integración final, pruebas y documentación.</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Facilitadores</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La definición temprana del contrato de datos entre el backend y la aplicación permitió trabajar en paralelo contra datos simulados, lo que neutralizó el riesgo de bloqueo mutuo identificado al inicio. La construcción del simulador, originalmente un obstáculo, obligó a implementar ambos lados del estándar y produjo un entendimiento del flujo de autorización superior al que se habría alcanzado consumiendo una interfaz ajena. Las pruebas automatizadas y el entorno reproducible con Docker Compose permitieron detectar defectos que una revisión visual no habría encontrado. Finalmente, la retroalimentación del docente fue concreta y accionable, lo que permitió corregir el rumbo sin ambigüedad.</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Dificultades</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No se obtuvo acceso al sandbox ATENA de la Comisión para el Mercado Financiero pese a la consulta formal, lo que obligó a construir el simulador con un costo muy superior al presupuestado. El trabajo con bases de datos locales independientes generó conflictos de integración, porque el equipo comparte código pero no datos. La indisponibilidad temporal del modelo de clasificación bloqueó el trabajo que dependía de él. Se detectó un defecto de duplicación de datos originado en un cambio de la fórmula de deduplicación entre dos ingestas, que hacía ingresar el mismo movimiento dos veces con huellas distintas. Por último, la distribución de la carga entre ambos integrantes se desbalanceó respecto de lo planificado.</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Ajustes realizados</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 redujo el alcance del simulador a la consulta de datos y se declararon explícitamente fuera de alcance las capas del perfil FAPI 2.0 que no pueden ejercitarse contra un simulador propio: autenticación mutua por certificado, firma JWS y registro dinámico de clientes. Se desacopló la dependencia del clasificador construyendo primero la interfaz que lo expone y ampliando el contrato de datos, de modo que la integración se redujera a poblar dos campos. Se corrigió la causa raíz del defecto de duplicación y se documentó un procedimiento de verificación reproducible. Se incorporó pytest, no contemplado en el plan original, al constatar que una simulación aleatoria sin pruebas no es verificable. Se redistribuyeron las actividades restantes entre ambos integrantes. Y se agregó una actividad nueva de consentimiento por finalidad de tratamiento, derivada de la Ley 21.719, con su tarea asociada de filtrar el reentrenamiento del modelo por los usuarios que lo autorizaron.</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Las evidencias del proyecto están concentradas en el repositorio público github.com/JossPa/VelvetWallet, que contiene el historial completo de desarrollo con la autoría identificada de cada integrante bajo convención de Conventional Commits.</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Sistema funcionando de extremo a extremo.</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Simulador de institución financiera conforme al Anexo N°3 de la NCG N°514, backend con pipeline de ingesta y normalización, y aplicación móvil conectada a ese backend. Permite recorrer la cadena completa: el dato nace en una interfaz que habla el estándar regulatorio, se normaliza a un modelo canónico y llega a una pantalla.</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Modelo de datos políglota.</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Esquema implementado sobre PostgreSQL para el modelo canónico y MongoDB para los cargamentos crudos, con el entorno completo reproducible mediante Docker Compose. Evidencia la construcción de modelos de datos escalables y la justificación arquitectónica de usar dos motores distintos.</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Capas de análisis sobre los datos.</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Motor de proyección Monte Carlo, modelo de clasificación automática de transacciones con sus métricas, y algoritmo de detección de gastos recurrentes. Son las capas que sostienen la complejidad técnica del proyecto y las que responden a las limitaciones detectadas en el prototipo previo.</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Suite de pruebas automatizadas.</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Pruebas sobre la aplicación móvil con Jest y sobre el backend con pytest, que verifican propiedades del sistema y no valores fijos. Evidencian el diseño y la aplicación de pruebas de validación conforme a buenas prácticas de la industria.</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Cumplimiento normativo demostrable.</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Pantallas y mecanismos de la Ley 21.719: consentimiento granular por finalidad, revocación, portabilidad de los datos del titular y bitácora de accesos.</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Documentación técnica.</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Especificación OpenAPI generada automáticamente por el simulador, como evidencia verificable de conformidad con el Anexo N°3; documentación de las decisiones de diseño y de sus fundamentos; y registro de la gestión ante la Comisión para el Mercado Financiero por el acceso al sandbox.</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Jossue Padrón</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Aporte del proyecto al conocimiento de mis intereses profesionales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Lo que más me enganchó del proyecto fue la parte del estándar de finanzas abiertas y la seguridad asociada: el flujo de autorización con OAuth 2.0, la solicitud enviada por canal posterior, PKCE, y la construcción del simulador de la institución financiera. Entré a ese bloque pensando que sería la parte burocrática del proyecto y resultó ser la más interesante, porque me obligó a algo que no había hecho antes: leer una norma regulatoria —la NCG N°514 y su Anexo N°3— y traducirla a código que funciona.</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Ese trabajo me mostró una dimensión del desarrollo de software que yo no tenía dimensionada. Entendí por qué el estándar está diseñado como está: que la clave del banco del usuario nunca pase por nuestra aplicación no es un detalle de implementación, es la razón de existir de todo el sistema. Y entendí que las decisiones de seguridad no se agregan al final sobre un sistema ya construido, sino que determinan la arquitectura desde el principio.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También aprendí el valor de declarar los límites. Hay capas del perfil FAPI 2.0 que dejamos fuera porque no se pueden ejercitar de verdad contra un simulador propio, y la decisión de escribirlo explícitamente en vez de insinuar una conformidad que no podíamos demostrar me parece, en retrospectiva, una de las decisiones más profesionales que tomamos.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¿Siguen siendo los mismos intereses?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Sí, siguen siendo los mismos que planteé al comenzar la asignatura, pero con una diferencia importante: antes eran una preferencia y ahora son una decisión fundamentada. Al empezar decía que me interesaba el desarrollo de software sin poder explicar bien por qué ni qué parte. Después de construir este proyecto completo puedo justificarlo con experiencia concreta, y sé distinguir qué tipo de trabajo me resulta estimulante y cuál no.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Intereses que me gustaría seguir profundizando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Quiero profundizar en seguridad aplicada al desarrollo: autenticación y autorización, protección de datos personales e implementación de estándares regulatorios en software. Este proyecto me dejó claro que entiendo lo suficiente para construir el flujo correctamente, pero también cuánto me falta: hay capas que quedaron fuera por decisión de alcance y que quiero saber implementar de verdad.</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También quiero seguir profundizando en el desarrollo de interfaces que expliquen información compleja de forma comprensible. Construir la pantalla que muestra una proyección probabilística de ahorro fue un problema más difícil de lo que esperaba: el cálculo estaba resuelto, pero convertir una distribución de probabilidad en algo que una persona común entienda en pocos segundos es un trabajo distinto, y me resultó tan interesante como la matemática que hay debajo.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Proyección laboral</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Me proyecto como desarrollador full-stack, con énfasis en desarrollo móvil. En este proyecto trabajé en todas las capas —el simulador del proveedor, el backend, las bases de datos, los motores de cálculo y la aplicación móvil— y lo que descubrí es que lo que me motiva es justamente eso: entender el sistema completo y poder seguir un dato desde que lo entrega una institución financiera hasta que aparece en la pantalla de un teléfono. Especializarme en una sola capa me habría dejado con la mitad del problema.</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El trabajo en el estándar de finanzas abiertas no es, entonces, una dirección distinta de la que elijo, sino algo que me llevo conmigo: quiero construir producto completo, y hacerlo con criterio de seguridad y de cumplimiento normativo desde el diseño y no como un parche al final. El Sistema de Finanzas Abiertas entra en vigencia en julio de 2027 y la Ley 21.719 el 1 de diciembre de 2026, de modo que haber trabajado sobre ambos marcos antes de que sean exigibles es una ventaja concreta para el mercado laboral al que voy a salir.</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Pedro Torres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