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44"/>
        </w:rPr>
        <w:t>Velvet Wallet</w:t>
      </w:r>
    </w:p>
    <w:p>
      <w:pPr>
        <w:spacing w:after="40"/>
      </w:pPr>
      <w:r>
        <w:rPr>
          <w:color w:val="595959"/>
          <w:sz w:val="24"/>
        </w:rPr>
        <w:t>Aplicación móvil de finanzas personales consumidora del Sistema de Finanzas Abiertas</w:t>
      </w:r>
    </w:p>
    <w:p>
      <w:r>
        <w:rPr>
          <w:color w:val="595959"/>
          <w:sz w:val="20"/>
        </w:rPr>
        <w:t>Capstone APT122 · Ingeniería en Informática · Duoc UC, sede Puerto Montt</w:t>
        <w:br/>
        <w:t>PADRON JOSSUE · TORRES PEDRO · Fase 2 · Octubre de 2026</w:t>
      </w:r>
    </w:p>
    <w:p>
      <w:pPr>
        <w:spacing w:before="360" w:after="120"/>
      </w:pPr>
      <w:r>
        <w:rPr>
          <w:b/>
          <w:color w:val="1F3864"/>
          <w:sz w:val="30"/>
        </w:rPr>
        <w:t>Abstract</w:t>
      </w:r>
    </w:p>
    <w:p>
      <w:pPr>
        <w:jc w:val="both"/>
      </w:pPr>
      <w:r>
        <w:t>Personal financial data in Chile is fragmented across institutions that do not communicate with each other. Users who want a complete picture of their finances currently face two poor options: typing every transaction by hand, which most people abandon within weeks, or handing their bank password to an application that scrapes their account, which is both insecure and illegitimate. Law 21.521 and regulation NCG N°514 address this by establishing the Chilean Open Finance System, under which financial data belongs to the user and institutions must expose it through standardised interfaces to whoever the user authorises. The system comes into force in July 2027.</w:t>
      </w:r>
    </w:p>
    <w:p>
      <w:pPr>
        <w:jc w:val="both"/>
      </w:pPr>
      <w:r>
        <w:t>This project develops Velvet Wallet, a mobile personal finance application designed as a reference implementation of a consumer of that standard. Because the system is not yet operational, the application was built against the published specification together with a simulator of an information provider developed by the team, which required implementing and understanding both sides of the standard. The authorisation flow uses OAuth 2.0 with pushed authorisation requests and PKCE, so the user's bank credentials are never handled by the application.</w:t>
      </w:r>
    </w:p>
    <w:p>
      <w:pPr>
        <w:jc w:val="both"/>
      </w:pPr>
      <w:r>
        <w:t>Three analytical layers sit on top of the ingestion pipeline: automatic transaction classification, recurring expense detection, and a Monte Carlo projection engine that answers how long a savings goal will take by resampling the user's own monthly surpluses rather than dividing by an average. Both the classifier and the projection engine abstain when the available data is insufficient, instead of returning an unreliable figure. The application also implements the obligations of Law 21.719 on personal data protection, in force from December 2026, including purpose-specific and revocable consent. By the end of week nine, the system runs end to end and is supported by 105 automated tests.</w:t>
      </w:r>
    </w:p>
    <w:p>
      <w:pPr>
        <w:spacing w:before="360" w:after="120"/>
      </w:pPr>
      <w:r>
        <w:rPr>
          <w:b/>
          <w:color w:val="1F3864"/>
          <w:sz w:val="30"/>
        </w:rPr>
        <w:t>Resumen</w:t>
      </w:r>
    </w:p>
    <w:p>
      <w:pPr>
        <w:jc w:val="both"/>
      </w:pPr>
      <w:r>
        <w:t>Los datos financieros de una persona en Chile están repartidos entre instituciones que no se comunican entre sí. Quien quiere una visión completa de sus finanzas enfrenta hoy dos caminos malos: transcribir cada movimiento a mano, lo que la mayoría abandona en pocas semanas, o entregar la clave de su banco a una aplicación que extrae los datos por raspado, lo que es inseguro e ilegítimo. La Ley 21.521 y la Norma de Carácter General N°514 responden a esto estableciendo el Sistema de Finanzas Abiertas chileno, según el cual los datos financieros pertenecen al usuario y las instituciones quedan obligadas a exponerlos mediante interfaces estandarizadas a quien él autorice. El sistema entra en vigencia en julio de 2027.</w:t>
      </w:r>
    </w:p>
    <w:p>
      <w:pPr>
        <w:jc w:val="both"/>
      </w:pPr>
      <w:r>
        <w:t>Este proyecto desarrolla Velvet Wallet, una aplicación móvil de finanzas personales concebida como implementación de referencia de un consumidor de ese estándar. Como el sistema todavía no opera, la aplicación se construyó contra la especificación publicada junto con un simulador de proveedor de información desarrollado por el equipo, lo que obligó a implementar y comprender ambos lados del estándar. El flujo de autorización usa OAuth 2.0 con solicitud enviada por canal posterior y PKCE, de modo que las credenciales bancarias del usuario nunca pasan por la aplicación.</w:t>
      </w:r>
    </w:p>
    <w:p>
      <w:pPr>
        <w:jc w:val="both"/>
      </w:pPr>
      <w:r>
        <w:t>Sobre el pipeline de ingesta se levantan tres capas de análisis: clasificación automática de transacciones, detección de gastos recurrentes y un motor de proyección de Monte Carlo que responde en cuánto tiempo se alcanza una meta de ahorro remuestreando los excedentes mensuales reales del usuario, en lugar de dividir por un promedio. Tanto el clasificador como el motor de proyección se abstienen cuando los datos disponibles son insuficientes, antes que entregar una cifra poco confiable. La aplicación implementa además las obligaciones de la Ley 21.719 de protección de datos personales, vigente desde diciembre de 2026, incluido el consentimiento específico por finalidad y revocable. Al cierre de la semana nueve el sistema funciona de punta a punta y está respaldado por 105 pruebas automatizadas.</w:t>
      </w:r>
    </w:p>
    <w:p>
      <w:pPr>
        <w:spacing w:before="360" w:after="120"/>
      </w:pPr>
      <w:r>
        <w:rPr>
          <w:b/>
          <w:color w:val="1F3864"/>
          <w:sz w:val="30"/>
        </w:rPr>
        <w:t>Individual Conclusions</w:t>
      </w:r>
    </w:p>
    <w:p>
      <w:pPr>
        <w:spacing w:after="200"/>
      </w:pPr>
      <w:r>
        <w:rPr>
          <w:i/>
          <w:color w:val="595959"/>
          <w:sz w:val="19"/>
        </w:rPr>
        <w:t>Written in English as required by the assessment guidelines.</w:t>
      </w:r>
    </w:p>
    <w:p>
      <w:pPr>
        <w:spacing w:before="240" w:after="120"/>
      </w:pPr>
      <w:r>
        <w:rPr>
          <w:b/>
          <w:color w:val="1F3864"/>
          <w:sz w:val="25"/>
        </w:rPr>
        <w:t>Jossue Padrón</w:t>
      </w:r>
    </w:p>
    <w:p>
      <w:pPr>
        <w:jc w:val="both"/>
      </w:pPr>
      <w:r>
        <w:t>The most valuable conclusion I draw from this phase is that security decisions are architectural decisions, not features added at the end. While building the client and the provider simulator, I had to read a regulatory standard and translate it into working code, and I understood that the reason the specification is designed the way it is comes down to a single principle: the user's bank credentials must never pass through our application. Once that principle is accepted, it determines the entire authorisation flow. If we had treated it as a later addition, we would have had to rebuild the system around it.</w:t>
      </w:r>
    </w:p>
    <w:p>
      <w:pPr>
        <w:jc w:val="both"/>
      </w:pPr>
      <w:r>
        <w:t>A second conclusion concerns how uncertainty should be communicated. The previous prototype answered the question of when a savings goal would be reached by dividing the remaining amount by an average monthly surplus. That calculation assumes every month is the same, which never happens: in our own data the surplus ranges from minus thirty-one thousand to two hundred and twenty-seven thousand pesos. Replacing it with a Monte Carlo simulation taught me that the honest answer to a financial question is often a probability rather than a date, and that a seeded random generator is what makes such a simulation testable at all.</w:t>
      </w:r>
    </w:p>
    <w:p>
      <w:pPr>
        <w:jc w:val="both"/>
      </w:pPr>
      <w:r>
        <w:t>Finally, I conclude that declaring limitations is a professional skill rather than an admission of failure. We deliberately left three layers of the FAPI 2.0 profile outside our scope because they cannot be meaningfully exercised against a simulator we wrote ourselves, and we documented that decision in the repository. I also had to correct our own README, which listed a technology we had not implemented. Stating a limit clearly is more defensible than implying a compliance we cannot demonstrate.</w:t>
      </w:r>
    </w:p>
    <w:p>
      <w:pPr>
        <w:spacing w:before="240" w:after="120"/>
      </w:pPr>
      <w:r>
        <w:rPr>
          <w:b/>
          <w:color w:val="1F3864"/>
          <w:sz w:val="25"/>
        </w:rPr>
        <w:t>Pedro Torres</w:t>
      </w:r>
    </w:p>
    <w:p>
      <w:pPr>
        <w:jc w:val="both"/>
      </w:pPr>
      <w:r>
        <w:t>My main conclusion is that the quality of an analytical system is decided in its data layer rather than in its algorithms. I built the automatic classification model, which on paper seemed the most attractive part of the project, and it works: it classifies ninety per cent of transactions and abstains on the rest instead of inventing a category. However, its accuracy depends entirely on how well the ingestion pipeline normalises merchant descriptions and how carefully the canonical model was designed. A model can only perform as well as the data it is trained on allows.</w:t>
      </w:r>
    </w:p>
    <w:p>
      <w:pPr>
        <w:jc w:val="both"/>
      </w:pPr>
      <w:r>
        <w:t>A second conclusion is that reading a specification carefully saves more time than writing code quickly. The standard does not define a field distinguishing a pending transaction from a confirmed one: a confirmed purchase reappears with the same identifier and a different amount. Discovering this before implementing the pipeline allowed us to design deduplication by natural key and to distinguish three outcomes per transaction, new, updated and unchanged. Had we noticed it later, the correction would have required rebuilding the ingestion process.</w:t>
      </w:r>
    </w:p>
    <w:p>
      <w:pPr>
        <w:jc w:val="both"/>
      </w:pPr>
      <w:r>
        <w:t>Finally, I conclude that using two database engines must be justified by architecture and not by convenience. The data each institution returns has no fixed schema, because every provider responds differently, and forcing it into a relational model would destroy information that cannot be recovered afterwards. PostgreSQL therefore stores the normalised canonical model while MongoDB stores the raw payload exactly as it arrived. Being able to defend that choice with a technical argument, rather than a preference, is something I could not do before this project.</w:t>
      </w:r>
    </w:p>
    <w:p>
      <w:pPr>
        <w:spacing w:before="360" w:after="120"/>
      </w:pPr>
      <w:r>
        <w:rPr>
          <w:b/>
          <w:color w:val="1F3864"/>
          <w:sz w:val="30"/>
        </w:rPr>
        <w:t>Reflection</w:t>
      </w:r>
    </w:p>
    <w:p>
      <w:pPr>
        <w:spacing w:after="200"/>
      </w:pPr>
      <w:r>
        <w:rPr>
          <w:i/>
          <w:color w:val="595959"/>
          <w:sz w:val="19"/>
        </w:rPr>
        <w:t>Written in English as required by the assessment guidelines.</w:t>
      </w:r>
    </w:p>
    <w:p>
      <w:pPr>
        <w:spacing w:before="240" w:after="120"/>
      </w:pPr>
      <w:r>
        <w:rPr>
          <w:b/>
          <w:color w:val="1F3864"/>
          <w:sz w:val="25"/>
        </w:rPr>
        <w:t>Jossue Padrón</w:t>
      </w:r>
    </w:p>
    <w:p>
      <w:pPr>
        <w:jc w:val="both"/>
      </w:pPr>
      <w:r>
        <w:t>Working on this phase changed how I understand my own professional direction, although not in the way I expected. The part that engaged me most was the one I assumed would be bureaucratic: the open finance standard and the security built around it. Reading a regulation issued by a financial regulator and turning it into a working authorisation flow was unfamiliar work, and I found it far more interesting than I anticipated.</w:t>
      </w:r>
    </w:p>
    <w:p>
      <w:pPr>
        <w:jc w:val="both"/>
      </w:pPr>
      <w:r>
        <w:t>My professional interests have not changed, but they are now grounded in experience rather than intuition. When the course began I said I was interested in software development without being able to explain which part or why. Having built a complete system, I can now justify that answer and distinguish the kind of work that motivates me from the kind that does not. I see myself as a full-stack developer with an emphasis on mobile, because what I value is understanding the whole system and being able to follow a single piece of data from the institution that issues it to the screen where a person reads it.</w:t>
      </w:r>
    </w:p>
    <w:p>
      <w:pPr>
        <w:jc w:val="both"/>
      </w:pPr>
      <w:r>
        <w:t>I also learned something uncomfortable about teamwork. I took on more of the work than I should have, partly to avoid being blocked and partly out of enthusiasm, and the result is that my teammate's individual contribution is smaller than it should be. Moving quickly on my own is not the same as moving forward as a team, and I will carry that lesson into any project I join. Looking ahead, the Open Finance System takes effect in July 2027 and Law 21.719 in December 2026, so having worked with both frameworks before they are enforceable is a concrete advantage for the job market I am about to enter.</w:t>
      </w:r>
    </w:p>
    <w:p>
      <w:pPr>
        <w:spacing w:before="240" w:after="120"/>
      </w:pPr>
      <w:r>
        <w:rPr>
          <w:b/>
          <w:color w:val="1F3864"/>
          <w:sz w:val="25"/>
        </w:rPr>
        <w:t>Pedro Torres</w:t>
      </w:r>
    </w:p>
    <w:p>
      <w:pPr>
        <w:jc w:val="both"/>
      </w:pPr>
      <w:r>
        <w:t>This phase gave me a clearer picture of the kind of work I want to do. I expected the design of the data model and the infrastructure supporting it to be mechanical, and instead it turned out to contain the most difficult decisions of the project. Justifying why the system uses two database engines, or how deduplication should behave when an institution resends the same transaction with a different amount, required thinking that I had not practised before.</w:t>
      </w:r>
    </w:p>
    <w:p>
      <w:pPr>
        <w:jc w:val="both"/>
      </w:pPr>
      <w:r>
        <w:t>My professional interests remain the same ones I stated at the beginning, but I can now support them with evidence. At the start I said I was interested in working with data without knowing what that meant in practice. I can now distinguish between designing a data model, building the process that feeds it and analysing what it contains, and I know which of the three I find most stimulating. An unexpected finding is that although I built the machine learning model, the layer underneath it interests me more.</w:t>
      </w:r>
    </w:p>
    <w:p>
      <w:pPr>
        <w:jc w:val="both"/>
      </w:pPr>
      <w:r>
        <w:t>I see myself working in backend development and data architecture, and I want to improve specifically in engineering practice: application programming interface design, automated testing, continuous integration and maintainable code. This project showed me the difference those practices make, and it also showed me the cost of their absence, since a data duplication defect took an entire afternoon to diagnose and automated verification would have caught it immediately. The regulatory context adds something I value: designing data models that must satisfy both an external standard and a legal obligation forces clearer thinking than a purely technical requirement would.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