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2395F"/>
          <w:sz w:val="18"/>
        </w:rPr>
        <w:t>GOBERNACIÓN DE CALDAS — SECRETARÍA DE EDUCACIÓN</w:t>
      </w:r>
    </w:p>
    <w:p>
      <w:pPr>
        <w:spacing w:before="0" w:after="160"/>
        <w:jc w:val="center"/>
      </w:pPr>
      <w:r>
        <w:rPr>
          <w:b w:val="0"/>
          <w:color w:val="5B6874"/>
          <w:sz w:val="18"/>
        </w:rPr>
        <w:t>Dirección de Planeación — Infraestructura Educativa</w:t>
      </w:r>
    </w:p>
    <w:p>
      <w:pPr>
        <w:spacing w:before="0" w:after="40"/>
        <w:jc w:val="center"/>
      </w:pPr>
      <w:r>
        <w:rPr>
          <w:b/>
          <w:sz w:val="30"/>
        </w:rPr>
        <w:t>INSTRUCTIVO PARA LAS ALCALDÍAS</w:t>
      </w:r>
    </w:p>
    <w:p>
      <w:pPr>
        <w:spacing w:before="0" w:after="40"/>
        <w:jc w:val="center"/>
      </w:pPr>
      <w:r>
        <w:rPr>
          <w:b w:val="0"/>
          <w:color w:val="5B6874"/>
          <w:sz w:val="21"/>
        </w:rPr>
        <w:t>Radicación del informe técnico-presupuestal por sede educativa</w:t>
      </w:r>
    </w:p>
    <w:p>
      <w:pPr>
        <w:spacing w:before="0" w:after="200"/>
        <w:jc w:val="center"/>
      </w:pPr>
      <w:r>
        <w:rPr>
          <w:b w:val="0"/>
          <w:color w:val="5B6874"/>
          <w:sz w:val="18"/>
        </w:rPr>
        <w:t>Reparación de infraestructura educativa afectada por el sismo del 10 de agosto de 2026</w:t>
      </w:r>
    </w:p>
    <w:p>
      <w:pPr>
        <w:spacing w:before="200" w:after="80"/>
      </w:pPr>
      <w:r>
        <w:rPr>
          <w:b/>
          <w:color w:val="12395F"/>
          <w:sz w:val="22"/>
        </w:rPr>
        <w:t>1. Qué se le solicita</w:t>
      </w:r>
    </w:p>
    <w:p>
      <w:pPr>
        <w:spacing w:before="0" w:after="100"/>
      </w:pPr>
      <w:r>
        <w:rPr>
          <w:b w:val="0"/>
          <w:sz w:val="20"/>
        </w:rPr>
        <w:t xml:space="preserve">La Secretaría de Educación estimó de manera preliminar el costo de reparación de las sedes educativas oficiales afectadas. Esa estimación es un orden de magnitud: </w:t>
      </w:r>
      <w:r>
        <w:rPr>
          <w:b/>
          <w:sz w:val="20"/>
        </w:rPr>
        <w:t>no constituye presupuesto de obra</w:t>
      </w:r>
      <w:r>
        <w:rPr>
          <w:b w:val="0"/>
          <w:sz w:val="20"/>
        </w:rPr>
        <w:t>. Con este instrumento el municipio presenta el presupuesto real, sede por sede, con cantidades y valores unitarios.</w:t>
      </w:r>
    </w:p>
    <w:p>
      <w:pPr>
        <w:spacing w:before="0" w:after="100"/>
      </w:pPr>
      <w:r>
        <w:rPr>
          <w:b w:val="0"/>
          <w:sz w:val="20"/>
        </w:rPr>
        <w:t xml:space="preserve">Debe pronunciarse sobre </w:t>
      </w:r>
      <w:r>
        <w:rPr>
          <w:b/>
          <w:sz w:val="20"/>
        </w:rPr>
        <w:t>todas</w:t>
      </w:r>
      <w:r>
        <w:rPr>
          <w:b w:val="0"/>
          <w:sz w:val="20"/>
        </w:rPr>
        <w:t xml:space="preserve"> las sedes oficiales de su municipio: indicar cuáles presentan afectación que requiera inversión y cuáles no. Solo las que presenten afectación llevan presupuesto.</w:t>
      </w:r>
    </w:p>
    <w:p>
      <w:pPr>
        <w:spacing w:before="200" w:after="80"/>
      </w:pPr>
      <w:r>
        <w:rPr>
          <w:b/>
          <w:color w:val="12395F"/>
          <w:sz w:val="22"/>
        </w:rPr>
        <w:t>2. Cómo ingresar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Use el enlace que recibió por correo institucional. </w:t>
      </w:r>
      <w:r>
        <w:rPr>
          <w:b/>
          <w:sz w:val="20"/>
        </w:rPr>
        <w:t>Es propio de su municipio y ya trae cargadas sus sedes.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Ábralo completo. Si el correo lo parte en dos líneas, cópielo entero antes de pegarlo en el navegador.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Trabaje siempre desde </w:t>
      </w:r>
      <w:r>
        <w:rPr>
          <w:b/>
          <w:sz w:val="20"/>
        </w:rPr>
        <w:t>el mismo computador y el mismo navegador</w:t>
      </w:r>
      <w:r>
        <w:rPr>
          <w:b w:val="0"/>
          <w:sz w:val="20"/>
        </w:rPr>
        <w:t>: lo que va diligenciando queda guardado allí. No use ventanas de incógnito.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No se requiere usuario ni contraseña.</w:t>
      </w:r>
    </w:p>
    <w:p>
      <w:pPr>
        <w:spacing w:before="200" w:after="80"/>
      </w:pPr>
      <w:r>
        <w:rPr>
          <w:b/>
          <w:color w:val="12395F"/>
          <w:sz w:val="22"/>
        </w:rPr>
        <w:t>3. Paso a paso</w:t>
      </w:r>
    </w:p>
    <w:p>
      <w:pPr>
        <w:spacing w:before="60" w:after="40"/>
      </w:pPr>
      <w:r>
        <w:rPr>
          <w:b/>
          <w:sz w:val="20"/>
        </w:rPr>
        <w:t>Paso 1. Revise la lista de sedes.</w:t>
      </w:r>
    </w:p>
    <w:p>
      <w:pPr>
        <w:spacing w:before="0" w:after="100"/>
      </w:pPr>
      <w:r>
        <w:rPr>
          <w:b w:val="0"/>
          <w:sz w:val="20"/>
        </w:rPr>
        <w:t>Al entrar verá todas las sedes de su municipio con la clasificación de la visita técnica del 27 de agosto de 2026. Esa clasificación es informativa y no se modifica.</w:t>
      </w:r>
    </w:p>
    <w:p>
      <w:pPr>
        <w:spacing w:before="60" w:after="40"/>
      </w:pPr>
      <w:r>
        <w:rPr>
          <w:b/>
          <w:sz w:val="20"/>
        </w:rPr>
        <w:t>Paso 2. Confirme las sedes sin afectación.</w:t>
      </w:r>
    </w:p>
    <w:p>
      <w:pPr>
        <w:spacing w:before="0" w:after="100"/>
      </w:pPr>
      <w:r>
        <w:rPr>
          <w:b w:val="0"/>
          <w:sz w:val="20"/>
        </w:rPr>
        <w:t xml:space="preserve">Las sedes que el censo clasificó como </w:t>
      </w:r>
      <w:r>
        <w:rPr>
          <w:b/>
          <w:sz w:val="20"/>
        </w:rPr>
        <w:t>tipo 5 · sin afectación</w:t>
      </w:r>
      <w:r>
        <w:rPr>
          <w:b w:val="0"/>
          <w:sz w:val="20"/>
        </w:rPr>
        <w:t xml:space="preserve"> vienen pre-marcadas. Puede confirmarlas todas de una vez con el botón que aparece arriba y concentrarse en las que sí requieren presupuesto. Si alguna de ellas sí presenta afectación, ábrala y corrija la declaración.</w:t>
      </w:r>
    </w:p>
    <w:p>
      <w:pPr>
        <w:spacing w:before="60" w:after="40"/>
      </w:pPr>
      <w:r>
        <w:rPr>
          <w:b/>
          <w:sz w:val="20"/>
        </w:rPr>
        <w:t>Paso 3. Diligencie las sedes afectadas.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Describa la afectación y adjunte al menos una fotografía.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Suba una </w:t>
      </w:r>
      <w:r>
        <w:rPr>
          <w:b/>
          <w:sz w:val="20"/>
        </w:rPr>
        <w:t>imagen de su firma</w:t>
      </w:r>
      <w:r>
        <w:rPr>
          <w:b w:val="0"/>
          <w:sz w:val="20"/>
        </w:rPr>
        <w:t xml:space="preserve"> —una foto o escaneo de la firma sobre papel blanco—. Queda guardada y se aplica a todas las sedes del municipio: no hay que subirla cada vez. Aparecerá en el documento final junto a la firma de la Secretaría.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En el presupuesto, </w:t>
      </w:r>
      <w:r>
        <w:rPr>
          <w:b/>
          <w:sz w:val="20"/>
        </w:rPr>
        <w:t>cada fila es un trabajo que se va a ejecutar</w:t>
      </w:r>
      <w:r>
        <w:rPr>
          <w:b w:val="0"/>
          <w:sz w:val="20"/>
        </w:rPr>
        <w:t>, no el daño que se observa. El daño ya lo describió arriba.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Si el trabajo se puede medir: indique la unidad, cuántas van y cuánto cuesta cada una. Por ejemplo, «Reposición de cubierta en teja», unidad m², cantidad 120, valor unitario $85.000.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Si no se puede desglosar: use la unidad </w:t>
      </w:r>
      <w:r>
        <w:rPr>
          <w:b/>
          <w:sz w:val="20"/>
        </w:rPr>
        <w:t>gl (global)</w:t>
      </w:r>
      <w:r>
        <w:rPr>
          <w:b w:val="0"/>
          <w:sz w:val="20"/>
        </w:rPr>
        <w:t xml:space="preserve">, cantidad </w:t>
      </w:r>
      <w:r>
        <w:rPr>
          <w:b/>
          <w:sz w:val="20"/>
        </w:rPr>
        <w:t>1</w:t>
      </w:r>
      <w:r>
        <w:rPr>
          <w:b w:val="0"/>
          <w:sz w:val="20"/>
        </w:rPr>
        <w:t>, y escriba el costo completo del trabajo en «valor unitario». Por ejemplo, «Reconstrucción de cocina y restaurante escolar», gl, 1, $80.000.000.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El valor total de cada fila y el costo directo </w:t>
      </w:r>
      <w:r>
        <w:rPr>
          <w:b/>
          <w:sz w:val="20"/>
        </w:rPr>
        <w:t>los calcula el sistema</w:t>
      </w:r>
      <w:r>
        <w:rPr>
          <w:b w:val="0"/>
          <w:sz w:val="20"/>
        </w:rPr>
        <w:t>. No los escriba.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Puede escribir las cifras con puntos, como se acostumbra: </w:t>
      </w:r>
      <w:r>
        <w:rPr>
          <w:b/>
          <w:sz w:val="20"/>
        </w:rPr>
        <w:t>1.500.000</w:t>
      </w:r>
      <w:r>
        <w:rPr>
          <w:b w:val="0"/>
          <w:sz w:val="20"/>
        </w:rPr>
        <w:t>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Sobre el costo directo se agregan dos porcentajes que el municipio define: </w:t>
      </w:r>
      <w:r>
        <w:rPr>
          <w:b/>
          <w:sz w:val="20"/>
        </w:rPr>
        <w:t>Administración</w:t>
      </w:r>
      <w:r>
        <w:rPr>
          <w:b w:val="0"/>
          <w:sz w:val="20"/>
        </w:rPr>
        <w:t xml:space="preserve"> —lo que cuesta administrar la obra: personal, pólizas, transporte, servicios e impuestos— y </w:t>
      </w:r>
      <w:r>
        <w:rPr>
          <w:b/>
          <w:sz w:val="20"/>
        </w:rPr>
        <w:t>Utilidad</w:t>
      </w:r>
      <w:r>
        <w:rPr>
          <w:b w:val="0"/>
          <w:sz w:val="20"/>
        </w:rPr>
        <w:t xml:space="preserve"> —la ganancia del contratista que ejecute—.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La referencia de mercado es </w:t>
      </w:r>
      <w:r>
        <w:rPr>
          <w:b/>
          <w:sz w:val="20"/>
        </w:rPr>
        <w:t>10 % de administración y 5 % de utilidad</w:t>
      </w:r>
      <w:r>
        <w:rPr>
          <w:b w:val="0"/>
          <w:sz w:val="20"/>
        </w:rPr>
        <w:t>. No existe un tope legal en Colombia: el municipio los define y debe poder sustentarlos. No se manejan imprevistos y el IVA del 19 % sobre la utilidad lo calcula el sistema.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El plazo son los días que toma </w:t>
      </w:r>
      <w:r>
        <w:rPr>
          <w:b/>
          <w:sz w:val="20"/>
        </w:rPr>
        <w:t>ejecutar la obra una vez contratada</w:t>
      </w:r>
      <w:r>
        <w:rPr>
          <w:b w:val="0"/>
          <w:sz w:val="20"/>
        </w:rPr>
        <w:t>. No incluya el tiempo del proceso de contratación.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Puede guardar borrador y continuar después.</w:t>
      </w:r>
    </w:p>
    <w:p>
      <w:pPr>
        <w:spacing w:before="60" w:after="40"/>
      </w:pPr>
      <w:r>
        <w:rPr>
          <w:b/>
          <w:sz w:val="20"/>
        </w:rPr>
        <w:t>Paso 4. Envíe a la Secretaría.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Mientras diligencia </w:t>
      </w:r>
      <w:r>
        <w:rPr>
          <w:b/>
          <w:sz w:val="20"/>
        </w:rPr>
        <w:t>no se descarga nada</w:t>
      </w:r>
      <w:r>
        <w:rPr>
          <w:b w:val="0"/>
          <w:sz w:val="20"/>
        </w:rPr>
        <w:t>. Puede trabajar durante varios días: todo queda guardado.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Cuando termine, oprima </w:t>
      </w:r>
      <w:r>
        <w:rPr>
          <w:b/>
          <w:sz w:val="20"/>
        </w:rPr>
        <w:t>«Enviar a la Secretaría»</w:t>
      </w:r>
      <w:r>
        <w:rPr>
          <w:b w:val="0"/>
          <w:sz w:val="20"/>
        </w:rPr>
        <w:t xml:space="preserve"> en el tablero. Se descargan los archivos de todas las sedes de una vez y se abre la carpeta donde debe soltarlos.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El navegador le pedirá permiso para descargar varios archivos: </w:t>
      </w:r>
      <w:r>
        <w:rPr>
          <w:b/>
          <w:sz w:val="20"/>
        </w:rPr>
        <w:t>acepte</w:t>
      </w:r>
      <w:r>
        <w:rPr>
          <w:b w:val="0"/>
          <w:sz w:val="20"/>
        </w:rPr>
        <w:t>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Arrastre todos los archivos descargados a la carpeta que se abrió. La primera vez le pedirá verificar su correo con un código que llega al mismo correo de la alcaldía.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Si diligencia más sedes después, vuelva a oprimir «Enviar»: solo se descargan las nuevas.</w:t>
      </w:r>
    </w:p>
    <w:p>
      <w:pPr>
        <w:spacing w:before="200" w:after="80"/>
      </w:pPr>
      <w:r>
        <w:rPr>
          <w:b/>
          <w:color w:val="12395F"/>
          <w:sz w:val="22"/>
        </w:rPr>
        <w:t>4. Plazo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8"/>
        <w:gridCol w:w="6236"/>
      </w:tblGrid>
      <w:tr>
        <w:tc>
          <w:tcPr>
            <w:tcW w:type="dxa" w:w="4986"/>
            <w:shd w:val="clear" w:fill="EEF2F6"/>
          </w:tcPr>
          <w:p>
            <w:pPr>
              <w:spacing w:after="20"/>
            </w:pPr>
            <w:r>
              <w:rPr>
                <w:b/>
                <w:sz w:val="19"/>
              </w:rPr>
              <w:t>Cierre de la recolección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9"/>
              </w:rPr>
              <w:t>Viernes 11 de septiembre de 2026</w:t>
            </w:r>
          </w:p>
        </w:tc>
      </w:tr>
      <w:tr>
        <w:tc>
          <w:tcPr>
            <w:tcW w:type="dxa" w:w="4986"/>
            <w:shd w:val="clear" w:fill="EEF2F6"/>
          </w:tcPr>
          <w:p>
            <w:pPr>
              <w:spacing w:after="20"/>
            </w:pPr>
            <w:r>
              <w:rPr>
                <w:b/>
                <w:sz w:val="19"/>
              </w:rPr>
              <w:t>Modalidad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b w:val="0"/>
                <w:sz w:val="19"/>
              </w:rPr>
              <w:t>Ejercicio de prueba para validar el instrumento</w:t>
            </w:r>
          </w:p>
        </w:tc>
      </w:tr>
    </w:tbl>
    <w:p>
      <w:pPr>
        <w:spacing w:before="200" w:after="80"/>
      </w:pPr>
      <w:r>
        <w:rPr>
          <w:b/>
          <w:color w:val="12395F"/>
          <w:sz w:val="22"/>
        </w:rPr>
        <w:t>5. Tenga en cuenta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Si su declaración difiere de la del censo —por ejemplo, si reporta afectación en una sede clasificada sin afectación— </w:t>
      </w:r>
      <w:r>
        <w:rPr>
          <w:b/>
          <w:sz w:val="20"/>
        </w:rPr>
        <w:t>el sistema le pedirá justificarlo</w:t>
      </w:r>
      <w:r>
        <w:rPr>
          <w:b w:val="0"/>
          <w:sz w:val="20"/>
        </w:rPr>
        <w:t>. No es un impedimento: la Secretaría revisará el caso.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El código DANE no se digita: se hereda del catálogo oficial. Así se evita que un registro quede sin poder cruzarse.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 xml:space="preserve">Si una sede no aparece en la lista, </w:t>
      </w:r>
      <w:r>
        <w:rPr>
          <w:b/>
          <w:sz w:val="20"/>
        </w:rPr>
        <w:t>no la omita</w:t>
      </w:r>
      <w:r>
        <w:rPr>
          <w:b w:val="0"/>
          <w:sz w:val="20"/>
        </w:rPr>
        <w:t>: informe a la Secretaría para verificarla contra la base maestra.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Puede generar el formato en PDF de cada sede radicada desde el mismo aplicativo.</w:t>
      </w:r>
    </w:p>
    <w:p>
      <w:pPr>
        <w:pStyle w:val="ListBullet"/>
        <w:spacing w:after="60"/>
        <w:ind w:left="397"/>
      </w:pPr>
      <w:r>
        <w:rPr>
          <w:b w:val="0"/>
          <w:sz w:val="20"/>
        </w:rPr>
        <w:t>El presupuesto será verificado por la Dirección de Planeación, que podrá aprobarlo, aprobarlo parcialmente o devolverlo con observaciones.</w:t>
      </w:r>
    </w:p>
    <w:p>
      <w:pPr>
        <w:spacing w:before="200" w:after="80"/>
      </w:pPr>
      <w:r>
        <w:rPr>
          <w:b/>
          <w:color w:val="12395F"/>
          <w:sz w:val="22"/>
        </w:rPr>
        <w:t>6. Soporte</w:t>
      </w:r>
    </w:p>
    <w:p>
      <w:pPr>
        <w:spacing w:before="0" w:after="200"/>
      </w:pPr>
      <w:r>
        <w:rPr>
          <w:b w:val="0"/>
          <w:sz w:val="20"/>
        </w:rPr>
        <w:t>Dirección de Planeación — Infraestructura Educativa, Secretaría de Educación de Caldas. Si extravió el enlace de su municipio, solicítelo por el mismo correo institucional de la alcaldía; no se atienden solicitudes desde correos personales.</w:t>
      </w:r>
    </w:p>
    <w:p>
      <w:pPr>
        <w:spacing w:before="120" w:after="0"/>
        <w:jc w:val="center"/>
      </w:pPr>
      <w:r>
        <w:rPr>
          <w:b w:val="0"/>
          <w:color w:val="5B6874"/>
          <w:sz w:val="16"/>
        </w:rPr>
        <w:t>Secretaría de Educación de Caldas — Dirección de Planeación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