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color w:val="12395F"/>
          <w:sz w:val="18"/>
        </w:rPr>
        <w:t>GOBERNACIÓN DE CALDAS — SECRETARÍA DE EDUCACIÓN</w:t>
      </w:r>
    </w:p>
    <w:p>
      <w:pPr>
        <w:spacing w:before="0" w:after="160"/>
        <w:jc w:val="center"/>
      </w:pPr>
      <w:r>
        <w:rPr>
          <w:b w:val="0"/>
          <w:color w:val="5B6874"/>
          <w:sz w:val="18"/>
        </w:rPr>
        <w:t>Dirección de Planeación — Infraestructura Educativa</w:t>
      </w:r>
    </w:p>
    <w:p>
      <w:pPr>
        <w:spacing w:before="0" w:after="20"/>
        <w:jc w:val="center"/>
      </w:pPr>
      <w:r>
        <w:rPr>
          <w:b/>
          <w:sz w:val="28"/>
        </w:rPr>
        <w:t>RESUMEN EJECUTIVO</w:t>
      </w:r>
    </w:p>
    <w:p>
      <w:pPr>
        <w:spacing w:before="0" w:after="20"/>
        <w:jc w:val="center"/>
      </w:pPr>
      <w:r>
        <w:rPr>
          <w:b w:val="0"/>
          <w:color w:val="5B6874"/>
          <w:sz w:val="20"/>
        </w:rPr>
        <w:t>Instrumento de recolección del informe técnico-presupuestal por sede educativa</w:t>
      </w:r>
    </w:p>
    <w:p>
      <w:pPr>
        <w:spacing w:before="0" w:after="180"/>
        <w:jc w:val="center"/>
      </w:pPr>
      <w:r>
        <w:rPr>
          <w:b w:val="0"/>
          <w:color w:val="5B6874"/>
          <w:sz w:val="18"/>
        </w:rPr>
        <w:t>Sismo del 10 de agosto de 2026 · Manizales, 9 de septiembre de 2026</w:t>
      </w:r>
    </w:p>
    <w:p>
      <w:pPr>
        <w:spacing w:before="180" w:after="60"/>
      </w:pPr>
      <w:r>
        <w:rPr>
          <w:b/>
          <w:color w:val="12395F"/>
          <w:sz w:val="21"/>
        </w:rPr>
        <w:t>1. Qué se resuelve</w:t>
      </w:r>
    </w:p>
    <w:p>
      <w:pPr>
        <w:spacing w:before="0" w:after="100"/>
      </w:pPr>
      <w:r>
        <w:rPr>
          <w:b w:val="0"/>
          <w:sz w:val="20"/>
        </w:rPr>
        <w:t xml:space="preserve">La estimación de costos del 8 de septiembre valoró en </w:t>
      </w:r>
      <w:r>
        <w:rPr>
          <w:b/>
          <w:sz w:val="20"/>
        </w:rPr>
        <w:t>$23.348.062.500</w:t>
      </w:r>
      <w:r>
        <w:rPr>
          <w:b w:val="0"/>
          <w:sz w:val="20"/>
        </w:rPr>
        <w:t xml:space="preserve"> la reparación de 456 sedes. El oficio que la acompaña advierte que es una estimación paramétrica y que </w:t>
      </w:r>
      <w:r>
        <w:rPr>
          <w:b/>
          <w:sz w:val="20"/>
        </w:rPr>
        <w:t>no constituye presupuesto de obra</w:t>
      </w:r>
      <w:r>
        <w:rPr>
          <w:b w:val="0"/>
          <w:sz w:val="20"/>
        </w:rPr>
        <w:t>. Para sustentar la cifra ante el Ministerio, la UNGRD o Hacienda hace falta el presupuesto real de cada municipio, sede por sede: 975 sedes en 26 municipios.</w:t>
      </w:r>
    </w:p>
    <w:p>
      <w:pPr>
        <w:spacing w:before="0" w:after="100"/>
      </w:pPr>
      <w:r>
        <w:rPr>
          <w:b w:val="0"/>
          <w:sz w:val="20"/>
        </w:rPr>
        <w:t xml:space="preserve">El instrumento sustituye el envío de formatos en Word por correo. Entrega la información </w:t>
      </w:r>
      <w:r>
        <w:rPr>
          <w:b/>
          <w:sz w:val="20"/>
        </w:rPr>
        <w:t>ya estructurada y comparable contra la estimación de la Secretaría</w:t>
      </w:r>
      <w:r>
        <w:rPr>
          <w:b w:val="0"/>
          <w:sz w:val="20"/>
        </w:rPr>
        <w:t>, sin digitación intermedia.</w:t>
      </w:r>
    </w:p>
    <w:p>
      <w:pPr>
        <w:spacing w:before="180" w:after="60"/>
      </w:pPr>
      <w:r>
        <w:rPr>
          <w:b/>
          <w:color w:val="12395F"/>
          <w:sz w:val="21"/>
        </w:rPr>
        <w:t>2. Cómo funciona</w:t>
      </w:r>
    </w:p>
    <w:p>
      <w:pPr>
        <w:pStyle w:val="ListBullet"/>
        <w:spacing w:after="40"/>
        <w:ind w:left="369"/>
      </w:pPr>
      <w:r>
        <w:rPr>
          <w:b w:val="0"/>
          <w:sz w:val="19"/>
        </w:rPr>
        <w:t>Cada alcaldía recibe un enlace propio con sus sedes ya cargadas desde la base maestra. No se digitan códigos DANE.</w:t>
      </w:r>
    </w:p>
    <w:p>
      <w:pPr>
        <w:pStyle w:val="ListBullet"/>
        <w:spacing w:after="40"/>
        <w:ind w:left="369"/>
      </w:pPr>
      <w:r>
        <w:rPr>
          <w:b w:val="0"/>
          <w:sz w:val="19"/>
        </w:rPr>
        <w:t xml:space="preserve">Las sedes que la visita técnica clasificó sin afectación vienen pre-marcadas y se confirman en bloque. </w:t>
      </w:r>
      <w:r>
        <w:rPr>
          <w:b/>
          <w:sz w:val="19"/>
        </w:rPr>
        <w:t>Riosucio resuelve 30 de sus 92 sedes en un clic.</w:t>
      </w:r>
    </w:p>
    <w:p>
      <w:pPr>
        <w:pStyle w:val="ListBullet"/>
        <w:spacing w:after="40"/>
        <w:ind w:left="369"/>
      </w:pPr>
      <w:r>
        <w:rPr>
          <w:b w:val="0"/>
          <w:sz w:val="19"/>
        </w:rPr>
        <w:t xml:space="preserve">Para las sedes afectadas se registran actividades, cantidades y valores unitarios. </w:t>
      </w:r>
      <w:r>
        <w:rPr>
          <w:b/>
          <w:sz w:val="19"/>
        </w:rPr>
        <w:t>Todos los cálculos los hace el sistema</w:t>
      </w:r>
      <w:r>
        <w:rPr>
          <w:b w:val="0"/>
          <w:sz w:val="19"/>
        </w:rPr>
        <w:t>: costo directo, administración, utilidad e IVA sobre la utilidad.</w:t>
      </w:r>
    </w:p>
    <w:p>
      <w:pPr>
        <w:pStyle w:val="ListBullet"/>
        <w:spacing w:after="40"/>
        <w:ind w:left="369"/>
      </w:pPr>
      <w:r>
        <w:rPr>
          <w:b w:val="0"/>
          <w:sz w:val="19"/>
        </w:rPr>
        <w:t>La Secretaría verifica en pantalla propia, con el valor estimado al lado y la desviación calculada. Genera el formato oficial en PDF con firma.</w:t>
      </w:r>
    </w:p>
    <w:p>
      <w:pPr>
        <w:pStyle w:val="ListBullet"/>
        <w:spacing w:after="40"/>
        <w:ind w:left="369"/>
      </w:pPr>
      <w:r>
        <w:rPr>
          <w:b w:val="0"/>
          <w:sz w:val="19"/>
        </w:rPr>
        <w:t xml:space="preserve">El municipio no ve la cifra estimada por la Secretaría: su presupuesto es una </w:t>
      </w:r>
      <w:r>
        <w:rPr>
          <w:b/>
          <w:sz w:val="19"/>
        </w:rPr>
        <w:t>medición independiente</w:t>
      </w:r>
      <w:r>
        <w:rPr>
          <w:b w:val="0"/>
          <w:sz w:val="19"/>
        </w:rPr>
        <w:t>, lo que permite validar el modelo donde ambas coincidan.</w:t>
      </w:r>
    </w:p>
    <w:p>
      <w:pPr>
        <w:spacing w:before="180" w:after="60"/>
      </w:pPr>
      <w:r>
        <w:rPr>
          <w:b/>
          <w:color w:val="12395F"/>
          <w:sz w:val="21"/>
        </w:rPr>
        <w:t>3. Estado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669"/>
        <w:gridCol w:w="3628"/>
      </w:tblGrid>
      <w:tr>
        <w:tc>
          <w:tcPr>
            <w:tcW w:type="dxa" w:w="4986"/>
            <w:shd w:val="clear" w:fill="EEF2F6"/>
          </w:tcPr>
          <w:p>
            <w:pPr>
              <w:spacing w:after="2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986"/>
            <w:shd w:val="clear" w:fill="EEF2F6"/>
          </w:tcPr>
          <w:p>
            <w:pPr>
              <w:spacing w:after="20"/>
            </w:pPr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Aplicativo de las alcaldías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Funcionando y probado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Consola de verificación de la Secretaría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Funcionando y probada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Formato oficial en PDF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Funcionando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Catálogo de 975 sedes, 161 I.E. y 26 alcaldías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Verificado contra la base maestra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Enlaces con token para las 26 alcaldías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Generados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Instructivo para las alcaldías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Listo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Sitio de SharePoint y carpetas por alcaldía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PENDIENTE — requiere autorización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Automatización hacia el tablero de Power BI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Especificada, falta construirla</w:t>
            </w:r>
          </w:p>
        </w:tc>
      </w:tr>
    </w:tbl>
    <w:p>
      <w:pPr>
        <w:spacing w:before="180" w:after="60"/>
      </w:pPr>
      <w:r>
        <w:rPr>
          <w:b/>
          <w:color w:val="12395F"/>
          <w:sz w:val="21"/>
        </w:rPr>
        <w:t>4. Verificación de calidad</w:t>
      </w:r>
    </w:p>
    <w:p>
      <w:pPr>
        <w:spacing w:before="0" w:after="60"/>
      </w:pPr>
      <w:r>
        <w:rPr>
          <w:b w:val="0"/>
          <w:sz w:val="20"/>
        </w:rPr>
        <w:t xml:space="preserve">El instrumento fue sometido a revisión antes de su uso. Se detectaron y corrigieron </w:t>
      </w:r>
      <w:r>
        <w:rPr>
          <w:b/>
          <w:sz w:val="20"/>
        </w:rPr>
        <w:t>tres defectos</w:t>
      </w:r>
      <w:r>
        <w:rPr>
          <w:b w:val="0"/>
          <w:sz w:val="20"/>
        </w:rPr>
        <w:t>:</w:t>
      </w:r>
    </w:p>
    <w:p>
      <w:pPr>
        <w:pStyle w:val="ListBullet"/>
        <w:spacing w:after="40"/>
        <w:ind w:left="369"/>
      </w:pPr>
      <w:r>
        <w:rPr>
          <w:b w:val="0"/>
          <w:sz w:val="19"/>
        </w:rPr>
        <w:t xml:space="preserve">Los campos rechazaban cifras escritas como </w:t>
      </w:r>
      <w:r>
        <w:rPr>
          <w:b/>
          <w:sz w:val="19"/>
        </w:rPr>
        <w:t>1.500.000</w:t>
      </w:r>
      <w:r>
        <w:rPr>
          <w:b w:val="0"/>
          <w:sz w:val="19"/>
        </w:rPr>
        <w:t xml:space="preserve"> y calculaban cero sin advertencia.</w:t>
      </w:r>
    </w:p>
    <w:p>
      <w:pPr>
        <w:pStyle w:val="ListBullet"/>
        <w:spacing w:after="40"/>
        <w:ind w:left="369"/>
      </w:pPr>
      <w:r>
        <w:rPr>
          <w:b w:val="0"/>
          <w:sz w:val="19"/>
        </w:rPr>
        <w:t>En municipios grandes se perdían borradores sin que el usuario lo notara.</w:t>
      </w:r>
    </w:p>
    <w:p>
      <w:pPr>
        <w:pStyle w:val="ListBullet"/>
        <w:spacing w:after="40"/>
        <w:ind w:left="369"/>
      </w:pPr>
      <w:r>
        <w:rPr>
          <w:b w:val="0"/>
          <w:sz w:val="19"/>
        </w:rPr>
        <w:t>Las fotografías se dañaban al reabrir una sede ya diligenciada.</w:t>
      </w:r>
    </w:p>
    <w:p>
      <w:pPr>
        <w:spacing w:before="0" w:after="80"/>
      </w:pPr>
      <w:r>
        <w:rPr>
          <w:b w:val="0"/>
          <w:sz w:val="20"/>
        </w:rPr>
        <w:t xml:space="preserve">Los tres están corregidos y verificados. </w:t>
      </w:r>
      <w:r>
        <w:rPr>
          <w:b/>
          <w:sz w:val="20"/>
        </w:rPr>
        <w:t>Se informan por transparencia: haberlos encontrado en pruebas y no en manos de un alcalde es parte del control de calidad.</w:t>
      </w:r>
    </w:p>
    <w:p>
      <w:pPr>
        <w:spacing w:before="180" w:after="60"/>
      </w:pPr>
      <w:r>
        <w:rPr>
          <w:b/>
          <w:color w:val="12395F"/>
          <w:sz w:val="21"/>
        </w:rPr>
        <w:t>5. Costo</w:t>
      </w:r>
    </w:p>
    <w:p>
      <w:pPr>
        <w:spacing w:before="0" w:after="100"/>
      </w:pPr>
      <w:r>
        <w:rPr>
          <w:b/>
          <w:sz w:val="20"/>
        </w:rPr>
        <w:t xml:space="preserve">Ninguno. </w:t>
      </w:r>
      <w:r>
        <w:rPr>
          <w:b w:val="0"/>
          <w:sz w:val="20"/>
        </w:rPr>
        <w:t>No requiere comprar licencias ni contratar servicios: se utiliza la infraestructura Microsoft 365 con la que ya cuenta la Gobernación. La licencia Power Automate Premium fue descartada por innecesaria.</w:t>
      </w:r>
    </w:p>
    <w:p>
      <w:pPr>
        <w:spacing w:before="180" w:after="60"/>
      </w:pPr>
      <w:r>
        <w:rPr>
          <w:b/>
          <w:color w:val="12395F"/>
          <w:sz w:val="21"/>
        </w:rPr>
        <w:t>6. Lo que se solicita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350"/>
        <w:gridCol w:w="2948"/>
      </w:tblGrid>
      <w:tr>
        <w:tc>
          <w:tcPr>
            <w:tcW w:type="dxa" w:w="4986"/>
            <w:shd w:val="clear" w:fill="EEF2F6"/>
          </w:tcPr>
          <w:p>
            <w:pPr>
              <w:spacing w:after="20"/>
            </w:pPr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4986"/>
            <w:shd w:val="clear" w:fill="EEF2F6"/>
          </w:tcPr>
          <w:p>
            <w:pPr>
              <w:spacing w:after="20"/>
            </w:pPr>
            <w:r>
              <w:rPr>
                <w:b/>
                <w:sz w:val="18"/>
              </w:rPr>
              <w:t>Responsable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Aval del instrumento para su uso con los municipios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Dirección de Planeación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Autorización del sitio de SharePoint y las carpetas por alcaldía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Dirección de Planeación / TI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Aval de los umbrales de alerta: Administración 12 %, Utilidad 8 %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Dirección de Planeación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Definición de los municipios para la prueba inicial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8"/>
              </w:rPr>
              <w:t>Dirección de Planeación</w:t>
            </w:r>
          </w:p>
        </w:tc>
      </w:tr>
    </w:tbl>
    <w:p>
      <w:pPr>
        <w:spacing w:before="0" w:after="100"/>
      </w:pPr>
    </w:p>
    <w:p>
      <w:pPr>
        <w:spacing w:before="0" w:after="200"/>
      </w:pPr>
      <w:r>
        <w:rPr>
          <w:b/>
          <w:sz w:val="20"/>
        </w:rPr>
        <w:t xml:space="preserve">Recomendación: </w:t>
      </w:r>
      <w:r>
        <w:rPr>
          <w:b w:val="0"/>
          <w:sz w:val="20"/>
        </w:rPr>
        <w:t>iniciar con uno o dos municipios pequeños —Marulanda, 11 sedes, o San José, 13— con acompañamiento telefónico, antes del envío a las 26 alcaldías. Lo que se aprende de un alcalde diligenciando en vivo no se obtiene de más días de desarrollo.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986"/>
          </w:tcPr>
          <w:p>
            <w:r/>
            <w:r>
              <w:rPr>
                <w:sz w:val="18"/>
              </w:rPr>
              <w:br/>
              <w:br/>
              <w:t>_______________________________</w:t>
              <w:br/>
            </w:r>
            <w:r>
              <w:rPr>
                <w:b/>
                <w:sz w:val="18"/>
              </w:rPr>
              <w:t>Elaboró</w:t>
              <w:br/>
            </w:r>
            <w:r>
              <w:rPr>
                <w:color w:val="5B6874"/>
                <w:sz w:val="16"/>
              </w:rPr>
              <w:t>Práctica TIC — Secretaría de Educación de Caldas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br/>
              <w:br/>
              <w:t>_______________________________</w:t>
              <w:br/>
            </w:r>
            <w:r>
              <w:rPr>
                <w:b/>
                <w:sz w:val="18"/>
              </w:rPr>
              <w:t>Avala</w:t>
              <w:br/>
            </w:r>
            <w:r>
              <w:rPr>
                <w:color w:val="5B6874"/>
                <w:sz w:val="16"/>
              </w:rPr>
              <w:t>Dirección de Planeación</w:t>
            </w:r>
          </w:p>
        </w:tc>
      </w:tr>
    </w:tbl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